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58BF" w14:textId="40382674" w:rsidR="00FF05DB" w:rsidRPr="00FF05DB" w:rsidRDefault="00FF05DB" w:rsidP="00FF05DB">
      <w:pPr>
        <w:jc w:val="right"/>
        <w:rPr>
          <w:rFonts w:ascii="PT Serif" w:hAnsi="PT Serif"/>
          <w:sz w:val="20"/>
          <w:szCs w:val="20"/>
        </w:rPr>
      </w:pPr>
    </w:p>
    <w:p w14:paraId="1C9DCB8A" w14:textId="197EA000" w:rsidR="00FF05DB" w:rsidRPr="00FF05DB" w:rsidRDefault="00FF05DB" w:rsidP="00FF05DB">
      <w:pPr>
        <w:spacing w:after="0"/>
        <w:jc w:val="center"/>
        <w:rPr>
          <w:rFonts w:ascii="PT Serif" w:hAnsi="PT Serif"/>
          <w:b/>
          <w:bCs/>
          <w:sz w:val="24"/>
          <w:szCs w:val="24"/>
        </w:rPr>
      </w:pPr>
      <w:r w:rsidRPr="00FF05DB">
        <w:rPr>
          <w:rFonts w:ascii="PT Serif" w:hAnsi="PT Serif"/>
          <w:b/>
          <w:bCs/>
          <w:sz w:val="24"/>
          <w:szCs w:val="24"/>
        </w:rPr>
        <w:t xml:space="preserve">Terms of </w:t>
      </w:r>
      <w:r w:rsidR="00753086">
        <w:rPr>
          <w:rFonts w:ascii="PT Serif" w:hAnsi="PT Serif"/>
          <w:b/>
          <w:bCs/>
          <w:sz w:val="24"/>
          <w:szCs w:val="24"/>
        </w:rPr>
        <w:t>Services</w:t>
      </w:r>
      <w:r w:rsidRPr="00FF05DB">
        <w:rPr>
          <w:rFonts w:ascii="PT Serif" w:hAnsi="PT Serif"/>
          <w:b/>
          <w:bCs/>
          <w:sz w:val="24"/>
          <w:szCs w:val="24"/>
        </w:rPr>
        <w:t xml:space="preserve"> for Permanent and Temporary Recruitment Services</w:t>
      </w:r>
    </w:p>
    <w:p w14:paraId="5818AF23" w14:textId="6E64DFF5" w:rsidR="00FF05DB" w:rsidRPr="00016948" w:rsidRDefault="00011AAC" w:rsidP="00016948">
      <w:pPr>
        <w:jc w:val="center"/>
        <w:rPr>
          <w:rFonts w:ascii="PT Serif" w:hAnsi="PT Serif"/>
          <w:b/>
          <w:bCs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The Aspire Staffing Group Ltd and Aspire staffing Events Ltd</w:t>
      </w:r>
      <w:r w:rsidR="00FF05DB" w:rsidRPr="00016948">
        <w:rPr>
          <w:rFonts w:ascii="PT Serif" w:hAnsi="PT Serif"/>
          <w:b/>
          <w:bCs/>
          <w:sz w:val="20"/>
          <w:szCs w:val="20"/>
        </w:rPr>
        <w:t xml:space="preserve"> owner</w:t>
      </w:r>
      <w:r w:rsidR="00BA7133">
        <w:rPr>
          <w:rFonts w:ascii="PT Serif" w:hAnsi="PT Serif"/>
          <w:b/>
          <w:bCs/>
          <w:sz w:val="20"/>
          <w:szCs w:val="20"/>
        </w:rPr>
        <w:t>s</w:t>
      </w:r>
      <w:r w:rsidR="00FF05DB" w:rsidRPr="00016948">
        <w:rPr>
          <w:rFonts w:ascii="PT Serif" w:hAnsi="PT Serif"/>
          <w:b/>
          <w:bCs/>
          <w:sz w:val="20"/>
          <w:szCs w:val="20"/>
        </w:rPr>
        <w:t xml:space="preserve"> of www.aspirestaffing.co.uk</w:t>
      </w:r>
    </w:p>
    <w:p w14:paraId="4603C03C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1. Scope of the Agreement</w:t>
      </w:r>
    </w:p>
    <w:p w14:paraId="3D1F3A14" w14:textId="2EF0A4DB" w:rsidR="00753086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These Terms of Business govern all services undertaken by </w:t>
      </w:r>
      <w:r w:rsidR="00005B59">
        <w:rPr>
          <w:rFonts w:ascii="PT Serif" w:hAnsi="PT Serif"/>
          <w:sz w:val="20"/>
          <w:szCs w:val="20"/>
        </w:rPr>
        <w:t>The Aspire</w:t>
      </w:r>
      <w:r w:rsidR="00C30E64">
        <w:rPr>
          <w:rFonts w:ascii="PT Serif" w:hAnsi="PT Serif"/>
          <w:sz w:val="20"/>
          <w:szCs w:val="20"/>
        </w:rPr>
        <w:t xml:space="preserve"> Staffing Group Ltd </w:t>
      </w:r>
      <w:r w:rsidR="007C2C40">
        <w:rPr>
          <w:rFonts w:ascii="PT Serif" w:hAnsi="PT Serif"/>
          <w:sz w:val="20"/>
          <w:szCs w:val="20"/>
        </w:rPr>
        <w:t>– 14094420</w:t>
      </w:r>
      <w:r w:rsidR="00986835">
        <w:rPr>
          <w:rFonts w:ascii="PT Serif" w:hAnsi="PT Serif"/>
          <w:sz w:val="20"/>
          <w:szCs w:val="20"/>
        </w:rPr>
        <w:t xml:space="preserve">, of the same address, and Aspire Staffing Events Ltd </w:t>
      </w:r>
      <w:r w:rsidR="00C12066">
        <w:rPr>
          <w:rFonts w:ascii="PT Serif" w:hAnsi="PT Serif"/>
          <w:sz w:val="20"/>
          <w:szCs w:val="20"/>
        </w:rPr>
        <w:t>–</w:t>
      </w:r>
      <w:r w:rsidR="00986835">
        <w:rPr>
          <w:rFonts w:ascii="PT Serif" w:hAnsi="PT Serif"/>
          <w:sz w:val="20"/>
          <w:szCs w:val="20"/>
        </w:rPr>
        <w:t xml:space="preserve"> </w:t>
      </w:r>
      <w:r w:rsidR="00C12066">
        <w:rPr>
          <w:rFonts w:ascii="PT Serif" w:hAnsi="PT Serif"/>
          <w:sz w:val="20"/>
          <w:szCs w:val="20"/>
        </w:rPr>
        <w:t>14779329 of the same address.</w:t>
      </w:r>
      <w:r w:rsidR="00074B8E">
        <w:rPr>
          <w:rFonts w:ascii="PT Serif" w:hAnsi="PT Serif"/>
          <w:sz w:val="20"/>
          <w:szCs w:val="20"/>
        </w:rPr>
        <w:t xml:space="preserve">  </w:t>
      </w:r>
      <w:r w:rsidR="00753086">
        <w:rPr>
          <w:rFonts w:ascii="PT Serif" w:hAnsi="PT Serif"/>
          <w:sz w:val="20"/>
          <w:szCs w:val="20"/>
        </w:rPr>
        <w:t>For the purpose of these Terms of Services</w:t>
      </w:r>
      <w:r w:rsidR="00074B8E">
        <w:rPr>
          <w:rFonts w:ascii="PT Serif" w:hAnsi="PT Serif"/>
          <w:sz w:val="20"/>
          <w:szCs w:val="20"/>
        </w:rPr>
        <w:t>, will be shown as Aspire Staffing Group (ASG)</w:t>
      </w:r>
    </w:p>
    <w:p w14:paraId="2C1A4093" w14:textId="4A6B6F34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(“</w:t>
      </w:r>
      <w:r>
        <w:rPr>
          <w:rFonts w:ascii="PT Serif" w:hAnsi="PT Serif"/>
          <w:sz w:val="20"/>
          <w:szCs w:val="20"/>
        </w:rPr>
        <w:t xml:space="preserve">Aspire Staffing </w:t>
      </w:r>
      <w:r w:rsidR="008D2A85">
        <w:rPr>
          <w:rFonts w:ascii="PT Serif" w:hAnsi="PT Serif"/>
          <w:sz w:val="20"/>
          <w:szCs w:val="20"/>
        </w:rPr>
        <w:t>Group /ASG)</w:t>
      </w:r>
      <w:r w:rsidRPr="00FF05DB">
        <w:rPr>
          <w:rFonts w:ascii="PT Serif" w:hAnsi="PT Serif"/>
          <w:sz w:val="20"/>
          <w:szCs w:val="20"/>
        </w:rPr>
        <w:t xml:space="preserve">”) </w:t>
      </w:r>
      <w:r w:rsidR="007E688F">
        <w:rPr>
          <w:rFonts w:ascii="PT Serif" w:hAnsi="PT Serif"/>
          <w:sz w:val="20"/>
          <w:szCs w:val="20"/>
        </w:rPr>
        <w:t>the Agencies</w:t>
      </w:r>
      <w:r w:rsidRPr="00FF05DB">
        <w:rPr>
          <w:rFonts w:ascii="PT Serif" w:hAnsi="PT Serif"/>
          <w:sz w:val="20"/>
          <w:szCs w:val="20"/>
        </w:rPr>
        <w:t xml:space="preserve"> </w:t>
      </w:r>
      <w:r w:rsidR="007E688F">
        <w:rPr>
          <w:rFonts w:ascii="PT Serif" w:hAnsi="PT Serif"/>
          <w:sz w:val="20"/>
          <w:szCs w:val="20"/>
        </w:rPr>
        <w:t xml:space="preserve">and Your Business (The Client). </w:t>
      </w:r>
      <w:r w:rsidRPr="00FF05DB">
        <w:rPr>
          <w:rFonts w:ascii="PT Serif" w:hAnsi="PT Serif"/>
          <w:sz w:val="20"/>
          <w:szCs w:val="20"/>
        </w:rPr>
        <w:t xml:space="preserve">The appointment by the Client of </w:t>
      </w:r>
      <w:r w:rsidR="00882A8D">
        <w:rPr>
          <w:rFonts w:ascii="PT Serif" w:hAnsi="PT Serif"/>
          <w:sz w:val="20"/>
          <w:szCs w:val="20"/>
        </w:rPr>
        <w:t>ASG</w:t>
      </w:r>
      <w:r w:rsidR="00276DC3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 to locate</w:t>
      </w:r>
      <w:r w:rsidR="00664E63">
        <w:rPr>
          <w:rFonts w:ascii="PT Serif" w:hAnsi="PT Serif"/>
          <w:sz w:val="20"/>
          <w:szCs w:val="20"/>
        </w:rPr>
        <w:t xml:space="preserve"> suitable</w:t>
      </w:r>
      <w:r w:rsidRPr="00FF05DB">
        <w:rPr>
          <w:rFonts w:ascii="PT Serif" w:hAnsi="PT Serif"/>
          <w:sz w:val="20"/>
          <w:szCs w:val="20"/>
        </w:rPr>
        <w:t xml:space="preserve"> candidates for you</w:t>
      </w:r>
      <w:r w:rsidR="007E688F">
        <w:rPr>
          <w:rFonts w:ascii="PT Serif" w:hAnsi="PT Serif"/>
          <w:sz w:val="20"/>
          <w:szCs w:val="20"/>
        </w:rPr>
        <w:t>,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for </w:t>
      </w:r>
      <w:r w:rsidR="00664E63">
        <w:rPr>
          <w:rFonts w:ascii="PT Serif" w:hAnsi="PT Serif"/>
          <w:sz w:val="20"/>
          <w:szCs w:val="20"/>
        </w:rPr>
        <w:t>P</w:t>
      </w:r>
      <w:r w:rsidRPr="00FF05DB">
        <w:rPr>
          <w:rFonts w:ascii="PT Serif" w:hAnsi="PT Serif"/>
          <w:sz w:val="20"/>
          <w:szCs w:val="20"/>
        </w:rPr>
        <w:t>ermanent positions and to supply Temporary workers for Temporary positions shall be deemed to be acceptance of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these Terms. In its services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is an Employment Business and Employment Agency, as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defined in The Conduct of Employment Agencies and Employment Businesses Regulations 2003.</w:t>
      </w:r>
    </w:p>
    <w:p w14:paraId="3C071AA9" w14:textId="28581429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The Terms and Conditions of Business between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and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an employer Client (the Client), are deemed to be accepted by the Client by virtue of an Introduction interview being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arranged, the use or engagement (which term includes employment or use under a contract of service or for services) of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staff introduced, or a temporary worker supplied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>.</w:t>
      </w:r>
    </w:p>
    <w:p w14:paraId="77968FF2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2. Definitions</w:t>
      </w:r>
    </w:p>
    <w:p w14:paraId="661D2CD9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2.1 In these Terms of Business the following definitions apply:</w:t>
      </w:r>
    </w:p>
    <w:p w14:paraId="3DCDE456" w14:textId="3B06575D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“Assignment Term” means the period set out in the Temporary Placement Confirmation Schedule during which a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Temporary Worker is supplied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render Services to the Client.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“AWR” means The Agency Worker Regulations 2010 (as amended from time to time).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“Basic Working and Employment Conditions” means those terms and conditions that are ordinarily included in the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contracts of comparable employees or workers of the Client, as further defined by Regulation 5 of the AWR.</w:t>
      </w:r>
    </w:p>
    <w:p w14:paraId="1EBD7AE8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“Candidate” means any individual Introduced to the Client.</w:t>
      </w:r>
    </w:p>
    <w:p w14:paraId="130887BB" w14:textId="2F9ABCEA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“Client Site” means the place the Services are to be performed by the Temporary Worker as specified on the Temporary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Placement Confirmation Schedule or as otherwise notified to the Temporary Worker.</w:t>
      </w:r>
    </w:p>
    <w:p w14:paraId="7CA85DA1" w14:textId="5F342A5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“Engages/Engaged/Engagement” means the engagement, employment or use of a Candidate or a Temporary Worker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directly by the Client or any third party or through any other employment business on a Permanent or Temporary basis,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whether under a contract of service or for services; an agency, license, franchise or partnership arrangement; or any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other engagement; directly or through a limited company of which the Candidate or Temporary Worker is an officer or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employee.</w:t>
      </w:r>
    </w:p>
    <w:p w14:paraId="0DA99496" w14:textId="43598E83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“Fees” means the fees calculated in accordance with the Fee Schedule and confirmed in a Temporary Placement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Confirmation Schedule in respect of a Temporary Placement and in a Permanent Placement Confirmation Schedule in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respect of a Permanent Placement.</w:t>
      </w:r>
    </w:p>
    <w:p w14:paraId="749FD121" w14:textId="77777777" w:rsidR="00016948" w:rsidRDefault="00016948" w:rsidP="00FF05DB">
      <w:pPr>
        <w:rPr>
          <w:rFonts w:ascii="PT Serif" w:hAnsi="PT Serif"/>
          <w:sz w:val="20"/>
          <w:szCs w:val="20"/>
        </w:rPr>
      </w:pPr>
    </w:p>
    <w:p w14:paraId="159E2B62" w14:textId="77777777" w:rsidR="00016948" w:rsidRDefault="00016948" w:rsidP="00FF05DB">
      <w:pPr>
        <w:rPr>
          <w:rFonts w:ascii="PT Serif" w:hAnsi="PT Serif"/>
          <w:sz w:val="20"/>
          <w:szCs w:val="20"/>
        </w:rPr>
      </w:pPr>
    </w:p>
    <w:p w14:paraId="15F8A2E9" w14:textId="5A02A14A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lastRenderedPageBreak/>
        <w:t xml:space="preserve">“Fee Schedule” means the fee schedule of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>’s current fees for its services (as amended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from time to time).</w:t>
      </w:r>
    </w:p>
    <w:p w14:paraId="3B5B06A8" w14:textId="68A5503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“Temporary Placement” means a placement for a Candidate as a Temporary Worker to provide Services for an</w:t>
      </w:r>
      <w:r w:rsidR="003D1CA4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Assignment Term via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subject to a contract for services.</w:t>
      </w:r>
    </w:p>
    <w:p w14:paraId="451B8467" w14:textId="1BC0EF3F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“Temporary Placement Confirmation Schedule” means the written confirmation of the appointment of a Temporary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Placement confirming the Services to be supplied to the Client by the Temporary Worker and the terms of such supply,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which shall be signed by an authorised representative of each party.</w:t>
      </w:r>
    </w:p>
    <w:p w14:paraId="0DE959D8" w14:textId="2D1F3C91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“Temporary Worker” means the individual (whether operating through a limited company or not) set out in the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Temporary Placement Confirmation Schedule who is introduced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render the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Services to the Client. A Temporary Worker also includes an interim worker.</w:t>
      </w:r>
    </w:p>
    <w:p w14:paraId="7A100889" w14:textId="564A1E5A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“Introduction” or “Introduce” means (</w:t>
      </w:r>
      <w:proofErr w:type="spellStart"/>
      <w:r w:rsidRPr="00FF05DB">
        <w:rPr>
          <w:rFonts w:ascii="PT Serif" w:hAnsi="PT Serif"/>
          <w:sz w:val="20"/>
          <w:szCs w:val="20"/>
        </w:rPr>
        <w:t>i</w:t>
      </w:r>
      <w:proofErr w:type="spellEnd"/>
      <w:r w:rsidRPr="00FF05DB">
        <w:rPr>
          <w:rFonts w:ascii="PT Serif" w:hAnsi="PT Serif"/>
          <w:sz w:val="20"/>
          <w:szCs w:val="20"/>
        </w:rPr>
        <w:t>) the Client’s interview of a Candidate in person or by telephone, following the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Client’s instruction to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supply a Candidate; or (ii) the passing to the Client of a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curriculum vitae or information which identifies the Candidate; and which leads to an Engagement of that Candidate.</w:t>
      </w:r>
    </w:p>
    <w:p w14:paraId="54247A16" w14:textId="39A8449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“Notice Period” means the period as agreed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and Temporary Worker</w:t>
      </w:r>
    </w:p>
    <w:p w14:paraId="5C09E35B" w14:textId="2AECA97A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“Permanent Placement” means a permanent placement for a Candidate as an employee of the Client (including Fixed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Term Contracts).</w:t>
      </w:r>
    </w:p>
    <w:p w14:paraId="14BF71A3" w14:textId="4110DE62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“Permanent Placement Confirmation Schedule” means the written confirmation for a Permanent Placement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confirming the appointment of a Candidate for a Permanent Placement, which shall be signed by an authorised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representative of each party.</w:t>
      </w:r>
    </w:p>
    <w:p w14:paraId="0F77393C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“Services” means any work and/or services to be performed by the Temporary Worker.</w:t>
      </w:r>
    </w:p>
    <w:p w14:paraId="6BDB5D0E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“Terms” means these Terms of Business.</w:t>
      </w:r>
    </w:p>
    <w:p w14:paraId="598DCD02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3. The Contract</w:t>
      </w:r>
    </w:p>
    <w:p w14:paraId="455F6974" w14:textId="0D0E6802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3.1 These Terms are the sole terms and conditions on which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shall Introduce Candidates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to the Client for Permanent Placements and Temporary Placements. These Terms are deemed to be accepted by the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Client the earlier of either, its brief to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search for Candidates, upon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passing any information about a Candidate to the Client and subsequent interview of the Candidate or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Temporary Worker.</w:t>
      </w:r>
    </w:p>
    <w:p w14:paraId="5C71FF18" w14:textId="77777777" w:rsidR="00016948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3.2 On each occasion the Client wishes to Engage a Candidate for a Permanent Placement the parties shall agree the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terms of a Permanent Placement Confirmation Schedule. By agreeing a Permanent Placement Confirmation Schedule,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the parties shall have entered into an agreement for the supply of the Services which incorporates the provisions of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Terms of Business for Permanent and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Temporary Recruitment Services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these Terms save where they are expressly modified or varied in the Permanent Placement Confirmation Schedule. The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Permanent Placement Confirmation Schedule, these Terms of Business and those covered in the relevant Fee Schedule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shall form the entire agreement between </w:t>
      </w:r>
    </w:p>
    <w:p w14:paraId="6418FA99" w14:textId="77777777" w:rsidR="00016948" w:rsidRDefault="00016948" w:rsidP="00FF05DB">
      <w:pPr>
        <w:rPr>
          <w:rFonts w:ascii="PT Serif" w:hAnsi="PT Serif"/>
          <w:sz w:val="20"/>
          <w:szCs w:val="20"/>
        </w:rPr>
      </w:pPr>
    </w:p>
    <w:p w14:paraId="63AB268E" w14:textId="77777777" w:rsidR="00140238" w:rsidRDefault="00140238" w:rsidP="00FF05DB">
      <w:pPr>
        <w:rPr>
          <w:rFonts w:ascii="PT Serif" w:hAnsi="PT Serif"/>
          <w:sz w:val="20"/>
          <w:szCs w:val="20"/>
        </w:rPr>
      </w:pPr>
    </w:p>
    <w:p w14:paraId="0186CFDB" w14:textId="77777777" w:rsidR="00140238" w:rsidRDefault="00140238" w:rsidP="00FF05DB">
      <w:pPr>
        <w:rPr>
          <w:rFonts w:ascii="PT Serif" w:hAnsi="PT Serif"/>
          <w:sz w:val="20"/>
          <w:szCs w:val="20"/>
        </w:rPr>
      </w:pPr>
    </w:p>
    <w:p w14:paraId="265F2270" w14:textId="313132B9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the parties with regard</w:t>
      </w:r>
      <w:r w:rsidR="00DB327F">
        <w:rPr>
          <w:rFonts w:ascii="PT Serif" w:hAnsi="PT Serif"/>
          <w:sz w:val="20"/>
          <w:szCs w:val="20"/>
        </w:rPr>
        <w:t xml:space="preserve">s </w:t>
      </w:r>
      <w:r w:rsidRPr="00FF05DB">
        <w:rPr>
          <w:rFonts w:ascii="PT Serif" w:hAnsi="PT Serif"/>
          <w:sz w:val="20"/>
          <w:szCs w:val="20"/>
        </w:rPr>
        <w:t>to the provision of the Services, to the exclusion of all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other terms, including any which the Client requests or tries to present.</w:t>
      </w:r>
    </w:p>
    <w:p w14:paraId="13B17041" w14:textId="4D521063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The Client agrees to supply to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a copy of the offer letter sent to the Candidate as soon as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reasonably practicabl</w:t>
      </w:r>
      <w:r w:rsidR="004C1D41">
        <w:rPr>
          <w:rFonts w:ascii="PT Serif" w:hAnsi="PT Serif"/>
          <w:sz w:val="20"/>
          <w:szCs w:val="20"/>
        </w:rPr>
        <w:t>e</w:t>
      </w:r>
      <w:r w:rsidRPr="00FF05DB">
        <w:rPr>
          <w:rFonts w:ascii="PT Serif" w:hAnsi="PT Serif"/>
          <w:sz w:val="20"/>
          <w:szCs w:val="20"/>
        </w:rPr>
        <w:t xml:space="preserve"> upon sending to the Candidate.</w:t>
      </w:r>
    </w:p>
    <w:p w14:paraId="302B6C25" w14:textId="79DD395A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3.3 On each occasion the Client wishes to Engage a Candidate as a Temporary Worker for a Temporary Placement the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parties shall agree the terms of a Temporary Placement Confirmation Schedule. By agreeing a Temporary Placement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Confirmation Schedule, the parties shall have entered into an agreement for the supply of the Services which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incorporates the provisions of these Terms save where they are expressly modified or varied in the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Temporary Placement Confirmation Schedule. The Temporary Placement Confirmation Schedule, these Terms of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Business and those covered in the relevant Fee Schedule shall form the entire agreement between the parties with</w:t>
      </w:r>
      <w:r w:rsidR="004A2C3C">
        <w:rPr>
          <w:rFonts w:ascii="PT Serif" w:hAnsi="PT Serif"/>
          <w:sz w:val="20"/>
          <w:szCs w:val="20"/>
        </w:rPr>
        <w:t xml:space="preserve"> r</w:t>
      </w:r>
      <w:r w:rsidRPr="00FF05DB">
        <w:rPr>
          <w:rFonts w:ascii="PT Serif" w:hAnsi="PT Serif"/>
          <w:sz w:val="20"/>
          <w:szCs w:val="20"/>
        </w:rPr>
        <w:t>egard to the provision of the Services, to the exclusion of all other terms, including any which the Client requests or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tries to present.</w:t>
      </w:r>
    </w:p>
    <w:p w14:paraId="78BE639B" w14:textId="070DCC6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3.4 The Client shall advise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of any special matters about </w:t>
      </w:r>
      <w:r w:rsidR="00882A8D">
        <w:rPr>
          <w:rFonts w:ascii="PT Serif" w:hAnsi="PT Serif"/>
          <w:sz w:val="20"/>
          <w:szCs w:val="20"/>
        </w:rPr>
        <w:t>ASG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is required to inform the Candidate in relation to any requirements imposed by law or by any professional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body, any special areas of expertise, training or qualifications required, and any associated Health and Safety risks which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must be satisfied if the Candidate is to accept a Temporary Placement or a Permanent Placement.</w:t>
      </w:r>
    </w:p>
    <w:p w14:paraId="12587641" w14:textId="1692D06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3.5 No variation or alteration to these Terms shall be valid unless the details of such variation are agreed between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and the Client and are set out in writing and a copy of the varied terms is given to each party.</w:t>
      </w:r>
    </w:p>
    <w:p w14:paraId="47E8C90F" w14:textId="70597EA9" w:rsidR="00E7153F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4. Fees</w:t>
      </w:r>
    </w:p>
    <w:p w14:paraId="21965EA2" w14:textId="522F5864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4.1 The Fees for each Permanent Placement and Temporary Placement shall be calculated in accordance with the Fee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Schedule and confirmed in the applicable confirmation schedule.</w:t>
      </w:r>
    </w:p>
    <w:p w14:paraId="7CDA1CFD" w14:textId="3A599D1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Unless otherwise agreed in a Permanent Placement Confirmation Schedule the following provisions shall apply to the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Fees payable for Permanent Placements:</w:t>
      </w:r>
    </w:p>
    <w:p w14:paraId="4D464790" w14:textId="62CC3B0C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4.2 All Fees for Permanent Placements shall be payable within 30 days of date of commencement of employment, or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with the express permission of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an instalment schedule and instalment payment dates to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be agreed by both parties. All invoices for Permanent Placements are raised on the start date of the Permanent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Placement.</w:t>
      </w:r>
    </w:p>
    <w:p w14:paraId="3B6C335F" w14:textId="762A1A0E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4.3 The Client shall be responsible for all payments to the Candidate and for making all the necessary statutory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deductions.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Terms of Business for Permanent and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Temporary Recruitment Services</w:t>
      </w:r>
    </w:p>
    <w:p w14:paraId="0F9F7992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4.4 Rebate for Permanent Placements:</w:t>
      </w:r>
    </w:p>
    <w:p w14:paraId="5F224AE9" w14:textId="6DEF5A0C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In the event that a Permanent Placement terminates (whether by expiry of notice or otherwise) within 12 weeks of the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date of commencement of the Permanent Placement (‘the rebate period”), and provided:</w:t>
      </w:r>
    </w:p>
    <w:p w14:paraId="4C3F27C9" w14:textId="7C6F8620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(a) the Client notifies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in writing of the termination of the Permanent Placement within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24 hours of such termination; and</w:t>
      </w:r>
    </w:p>
    <w:p w14:paraId="2DE62D4D" w14:textId="2D52A902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(b) the Candidate has not previously either directly or indirectly been Engaged by the Client; and</w:t>
      </w:r>
    </w:p>
    <w:p w14:paraId="73106FE0" w14:textId="77777777" w:rsidR="004E2181" w:rsidRDefault="004E2181" w:rsidP="00FF05DB">
      <w:pPr>
        <w:rPr>
          <w:rFonts w:ascii="PT Serif" w:hAnsi="PT Serif"/>
          <w:sz w:val="20"/>
          <w:szCs w:val="20"/>
        </w:rPr>
      </w:pPr>
    </w:p>
    <w:p w14:paraId="7264B04C" w14:textId="345D1C3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(c) the termination is not due to redundancy or the Candidate’s ill health; and</w:t>
      </w:r>
    </w:p>
    <w:p w14:paraId="65799424" w14:textId="77777777" w:rsidR="001B6FFD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(d) the Client had provided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with full and correct information in relation to the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Permanent Placement and nothing has materially changed with regards to the Candidate’s current or anticipated job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role which would precipitate the Candidate choosing to leave or the Client determining that the Candidate is no longer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suitable for the role; and</w:t>
      </w:r>
    </w:p>
    <w:p w14:paraId="0FA2C3F6" w14:textId="67E29204" w:rsidR="00E73215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(e) all monies due from the Client have been paid in full under these Terms then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shall</w:t>
      </w:r>
      <w:r w:rsidR="004A2C3C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pay the Client a rebate calculated as follows:</w:t>
      </w:r>
    </w:p>
    <w:p w14:paraId="2E6C5D9C" w14:textId="1D4F8B61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Unless otherwise agreed in a Temporary Placement Confirmation Schedule the following provisions shall apply to the</w:t>
      </w:r>
      <w:r w:rsidR="00CB6DF2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Fees payable for Temporary Placements:</w:t>
      </w:r>
    </w:p>
    <w:p w14:paraId="2DEB928A" w14:textId="1BB5FCC2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4.5 All Fees for Temporary services shall be payable within 14 days of date of invoice. The Fees for Temporary</w:t>
      </w:r>
      <w:r w:rsidR="00CB6DF2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Placements shall be invoiced to the Client on a weekly basis.</w:t>
      </w:r>
    </w:p>
    <w:p w14:paraId="5660982E" w14:textId="0DDCA8D0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4.6 If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is paying the Temporary Worker through its own payroll system the Fees shall</w:t>
      </w:r>
      <w:r w:rsidR="00CB6DF2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comprise of:</w:t>
      </w:r>
    </w:p>
    <w:p w14:paraId="065CC628" w14:textId="470D4ACF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(a) The day rate of the Temporary Worker together with all applicable statutory charges including holiday pay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allowance, Pension Auto enrolment costs and Employers’ National Insurance. </w:t>
      </w:r>
      <w:r w:rsidR="005433F3" w:rsidRPr="00FF05DB">
        <w:rPr>
          <w:rFonts w:ascii="PT Serif" w:hAnsi="PT Serif"/>
          <w:sz w:val="20"/>
          <w:szCs w:val="20"/>
        </w:rPr>
        <w:t>All such</w:t>
      </w:r>
      <w:r w:rsidRPr="00FF05DB">
        <w:rPr>
          <w:rFonts w:ascii="PT Serif" w:hAnsi="PT Serif"/>
          <w:sz w:val="20"/>
          <w:szCs w:val="20"/>
        </w:rPr>
        <w:t xml:space="preserve"> statutory charges will be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calculated at the prevailing statutory rate or at an enhanced rate as may be required as a result of AWR ;</w:t>
      </w:r>
    </w:p>
    <w:p w14:paraId="20082474" w14:textId="7828345E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4.7 If the Client is paying the Temporary Worker through its own payroll system the Fees shall comprise of the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fee.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Terms of Business for Permanent and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Temporary Recruitment Services</w:t>
      </w:r>
    </w:p>
    <w:p w14:paraId="66382B8F" w14:textId="0917EE04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4.8 If a Temporary Placement is extended the Client acknowledges and agrees that the Fees shall be payable on each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extension of the Assignment Term.</w:t>
      </w:r>
    </w:p>
    <w:p w14:paraId="618225AF" w14:textId="2019506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4.9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will have the right to increase the Fee during a Temporary Placement and the Client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will be obliged to pay an increased Fee or additional sums in the following circumstances:</w:t>
      </w:r>
    </w:p>
    <w:p w14:paraId="06A610E8" w14:textId="209C330E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(a) if any statutory legislation comes into force which affects the Fees, deductions, tax, payments or any statutory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liability of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(including pursuant to the AWR);</w:t>
      </w:r>
    </w:p>
    <w:p w14:paraId="4745062B" w14:textId="398A41B0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(b) if in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>’s reasonable opinion any Temporary Worker is eligible for and/or has not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received equivalent Basic Working and Employment Conditions (including without limitation any bonus, commission or</w:t>
      </w:r>
    </w:p>
    <w:p w14:paraId="3E0A7DA8" w14:textId="195AD9B9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other payment); or</w:t>
      </w:r>
    </w:p>
    <w:p w14:paraId="33836E4C" w14:textId="0D0D2B19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(c) if a Temporary Worker is entitled to holiday over and above the statutory minimum as a result of AWR,</w:t>
      </w:r>
    </w:p>
    <w:p w14:paraId="18395643" w14:textId="44498E2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In the above circumstances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will notify the Client in writing of any increase in the Fee or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additional payments due from the Client in order to meet its obligations.</w:t>
      </w:r>
    </w:p>
    <w:p w14:paraId="6AAF0EB2" w14:textId="24412D3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4.10 VAT, if applicable, is payable on the entirety of the Fees.</w:t>
      </w:r>
    </w:p>
    <w:p w14:paraId="4C60CD6B" w14:textId="00E45BAF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4.11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reserves the right to charge interest on any overdue amounts at the rate of 5% per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annum above the base rate from time to time of Barclays Bank plc from the due date until the date of payment.</w:t>
      </w:r>
    </w:p>
    <w:p w14:paraId="3996D3C3" w14:textId="77777777" w:rsidR="0044490C" w:rsidRDefault="0044490C" w:rsidP="00FF05DB">
      <w:pPr>
        <w:rPr>
          <w:rFonts w:ascii="PT Serif" w:hAnsi="PT Serif"/>
          <w:sz w:val="20"/>
          <w:szCs w:val="20"/>
        </w:rPr>
      </w:pPr>
    </w:p>
    <w:p w14:paraId="38B561C8" w14:textId="6198AFA2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4.12 An administration charge of £300 plus VAT will be incurred if the job is subsequently withdrawn when;</w:t>
      </w:r>
    </w:p>
    <w:p w14:paraId="2174FC51" w14:textId="3374131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(a) the candidate has been invited back for a second interview; or</w:t>
      </w:r>
    </w:p>
    <w:p w14:paraId="20006DEB" w14:textId="2AEE00FF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(b) an offer has been verbally or in writing</w:t>
      </w:r>
    </w:p>
    <w:p w14:paraId="5EEE8D2C" w14:textId="3C040934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When a company car is provided the total remuneration shall further include an amount of £2,500 (Two thousand five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hundred pounds).</w:t>
      </w:r>
    </w:p>
    <w:p w14:paraId="00AAAFEC" w14:textId="1A25C7D3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5. Temporary Placements</w:t>
      </w:r>
    </w:p>
    <w:p w14:paraId="3913941C" w14:textId="4298A719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5.1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shall procure that the Temporary Worker shall make themselves available to provide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the Services for the Assignment Term at the Client Site.</w:t>
      </w:r>
    </w:p>
    <w:p w14:paraId="3F25C303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5.2 The Client will provide and take responsibility for all equipment required in the provision of the Services at all times.</w:t>
      </w:r>
    </w:p>
    <w:p w14:paraId="26B71B2A" w14:textId="664823F0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The Client agrees to ensure that the Client Site is a safe, secure and suitable premises for the provision of the Services.</w:t>
      </w:r>
    </w:p>
    <w:p w14:paraId="5999E243" w14:textId="45AE02C2" w:rsidR="00FF05DB" w:rsidRPr="00FF05DB" w:rsidRDefault="00FF05DB" w:rsidP="00F8031D">
      <w:pPr>
        <w:spacing w:after="0"/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5.3 The Client will assist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in complying with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>’s duties under</w:t>
      </w:r>
    </w:p>
    <w:p w14:paraId="288AF7E8" w14:textId="58D0589A" w:rsidR="00FF05DB" w:rsidRPr="00FF05DB" w:rsidRDefault="00FF05DB" w:rsidP="00F8031D">
      <w:pPr>
        <w:spacing w:after="0"/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the Working Time Regulations by supplying any relevant information about the Services requested by </w:t>
      </w:r>
      <w:r w:rsidR="00016948">
        <w:rPr>
          <w:rFonts w:ascii="PT Serif" w:hAnsi="PT Serif"/>
          <w:sz w:val="20"/>
          <w:szCs w:val="20"/>
        </w:rPr>
        <w:t>Aspire Staffing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Terms of Business for Permanent and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Temporary Recruitment Services</w:t>
      </w:r>
    </w:p>
    <w:p w14:paraId="59C37E80" w14:textId="69EB5774" w:rsidR="00016948" w:rsidRDefault="00FF05DB" w:rsidP="00F8031D">
      <w:pPr>
        <w:spacing w:after="0"/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Consultancy and the Client will not do anything to cause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be in breach of its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obligations under these Regulations. Where the Client requires or may require the services of a </w:t>
      </w:r>
    </w:p>
    <w:p w14:paraId="04C50E13" w14:textId="46ACAD6E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Temporary Worker for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more than 48 hours in any week, the Client must notify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of this requirement before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commencement of that week.</w:t>
      </w:r>
    </w:p>
    <w:p w14:paraId="6BC7E733" w14:textId="5B14A7C6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5.4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shall enter into a contract with the Temporary Worker which shall provide that they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will:</w:t>
      </w:r>
    </w:p>
    <w:p w14:paraId="6EFD8071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(a) provide the Services at all times to the best of their knowledge, power and ability;</w:t>
      </w:r>
    </w:p>
    <w:p w14:paraId="0E356511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(b) be available to provide the Services at the Client Site at the times agreed with the Client;</w:t>
      </w:r>
    </w:p>
    <w:p w14:paraId="220582A7" w14:textId="146FB38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(c) comply in all respects with and have regard to all relevant statutory regulations, laws and orders and all codes of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practice applicable to the Services; and</w:t>
      </w:r>
    </w:p>
    <w:p w14:paraId="58312FC8" w14:textId="5CC20143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(d) comply with the Client Site rules and regulations and observe other similar instructions given by the Client or</w:t>
      </w:r>
      <w:r w:rsidR="00016948" w:rsidRPr="00016948">
        <w:rPr>
          <w:rFonts w:ascii="PT Serif" w:hAnsi="PT Serif"/>
          <w:sz w:val="20"/>
          <w:szCs w:val="20"/>
        </w:rPr>
        <w:t xml:space="preserve"> </w:t>
      </w:r>
      <w:r w:rsidR="00882A8D">
        <w:rPr>
          <w:rFonts w:ascii="PT Serif" w:hAnsi="PT Serif"/>
          <w:sz w:val="20"/>
          <w:szCs w:val="20"/>
        </w:rPr>
        <w:t>ASG</w:t>
      </w:r>
      <w:r w:rsidR="00016948">
        <w:rPr>
          <w:rFonts w:ascii="PT Serif" w:hAnsi="PT Serif"/>
          <w:sz w:val="20"/>
          <w:szCs w:val="20"/>
        </w:rPr>
        <w:t>.</w:t>
      </w:r>
    </w:p>
    <w:p w14:paraId="7794E37E" w14:textId="0F1079B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5.5 At the end of each week of an Assignment Term the Client shall sign the Temporary Worker’s timesheet verifying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number of hours worked by the Temporary Worker during that week.</w:t>
      </w:r>
    </w:p>
    <w:p w14:paraId="698CC77F" w14:textId="5E53C6B9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5.6 Signature of the timesheet by the Client is confirmation of the number of hours worked. If the Client is unable to sign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 timesheet produced for authentication by the Temporary Worker because the Client disputes the hours claimed,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Client shall inform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as soon as is reasonably practicable and shall co-operate fully and in a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timely fashion with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enable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establish what hours, if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any, were worked by the Temporary Worker. Failure to sign the timesheet does not absolve the Client’s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obligation to pay the Fees in respect of the hours worked.</w:t>
      </w:r>
    </w:p>
    <w:p w14:paraId="3399590D" w14:textId="77777777" w:rsidR="0044490C" w:rsidRDefault="0044490C" w:rsidP="00FF05DB">
      <w:pPr>
        <w:rPr>
          <w:rFonts w:ascii="PT Serif" w:hAnsi="PT Serif"/>
          <w:sz w:val="20"/>
          <w:szCs w:val="20"/>
        </w:rPr>
      </w:pPr>
    </w:p>
    <w:p w14:paraId="42314B22" w14:textId="77777777" w:rsidR="0044490C" w:rsidRDefault="0044490C" w:rsidP="00FF05DB">
      <w:pPr>
        <w:rPr>
          <w:rFonts w:ascii="PT Serif" w:hAnsi="PT Serif"/>
          <w:sz w:val="20"/>
          <w:szCs w:val="20"/>
        </w:rPr>
      </w:pPr>
    </w:p>
    <w:p w14:paraId="7E04066A" w14:textId="1CFA1CD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5.7 The Client shall not be entitled to decline to sign a timesheet on the basis that he is dissatisfied with the Services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performed by the Temporary Worker.</w:t>
      </w:r>
    </w:p>
    <w:p w14:paraId="1E7BCDE3" w14:textId="78CD4B02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5.8 When it has been agreed that a Temporary Worker is to be placed on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’s payroll </w:t>
      </w:r>
      <w:r w:rsidR="00882A8D">
        <w:rPr>
          <w:rFonts w:ascii="PT Serif" w:hAnsi="PT Serif"/>
          <w:sz w:val="20"/>
          <w:szCs w:val="20"/>
        </w:rPr>
        <w:t>ASG</w:t>
      </w:r>
      <w:r w:rsidR="00016948" w:rsidRPr="00FF05DB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assumes responsibility for paying the Temporary Worker.</w:t>
      </w:r>
    </w:p>
    <w:p w14:paraId="2ADD90E5" w14:textId="56112B1C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5.9 The Client shall notify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immediately and without delay and in any event within 4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(four) hours if the Temporary Worker fails to attend the Client Site or notifies the Client that the Temporary Worker is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unable to provide the Services work for any reason.</w:t>
      </w:r>
    </w:p>
    <w:p w14:paraId="110C6694" w14:textId="7424E551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6. AWR</w:t>
      </w:r>
    </w:p>
    <w:p w14:paraId="2EC05B67" w14:textId="03AD7E0B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6.1 It shall be the responsibility of the Client and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ensure that if the AWR apply to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Temporary Placement, the Temporary Worker benefits from the same Basic Working and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Employment Conditions as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Temporary Worker would be entitled to had such Temporary Worker been recruited directly by the Client.</w:t>
      </w:r>
    </w:p>
    <w:p w14:paraId="5A36550E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6.2 The Client agrees and acknowledges that:</w:t>
      </w:r>
    </w:p>
    <w:p w14:paraId="4F049BC3" w14:textId="1630B324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(a) it shall provide accurate and up-to-date information to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on an on- going basis in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relation to the Basic Working and Employment Conditions of comparable employees of the Client so as to ensure that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the remuneration paid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each Temporary Worker for each Temporary Placement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complies with AWR;</w:t>
      </w:r>
    </w:p>
    <w:p w14:paraId="46F86576" w14:textId="42AB055B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(b) it shall complete and return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>’s Temporary Placement Confirmation Schedule, to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satisfaction of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and any other information requests as soon as reasonably practicable in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order to ensure compliance with AWR;</w:t>
      </w:r>
    </w:p>
    <w:p w14:paraId="74C83DC2" w14:textId="37FA9005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(c) it shall promptly notify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upon any changes in the Basic Working and Employment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Conditions (including without limitation any pay reviews, bonus payments or increased holidays); and</w:t>
      </w:r>
    </w:p>
    <w:p w14:paraId="4028C1B9" w14:textId="2FEE8CBA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(d) in the event that the AWR apply to the Temporary Placement, it shall promptly pay to the Temporary Worker those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bonus payments that the Temporary Worker is eligible for under AWR.</w:t>
      </w:r>
    </w:p>
    <w:p w14:paraId="12E40559" w14:textId="3289FB86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6.3 The Client agrees and acknowledges that it is responsible for providing the Temporary Workers with access to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information regarding relevant employment vacancies and the collective facilities and amenities provided by the Client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on an ongoing basis from the first day of the Temporary Placement.</w:t>
      </w:r>
    </w:p>
    <w:p w14:paraId="719337FF" w14:textId="2AD5525F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6.4 The Client warrants and undertakes that it will not structure the Temporary Placements in a manner that prevents or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attempts to prevent a Temporary Worker from being entitled to, or from continuing to be entitled to equivalent Basic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Working and Employment Conditions, or which is prohibited under the AWR.</w:t>
      </w:r>
    </w:p>
    <w:p w14:paraId="2F06B413" w14:textId="353095BB" w:rsid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6.5 In the event that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receives a written request from a Temporary Worker in relation to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the Client’s compliance with the AWR,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shall promptly pass such request to the Client;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whereupon the Client shall compile a written statement setting out in sufficient detail the information necessary to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comply with the AWR and present such statement to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by the date determined by</w:t>
      </w:r>
      <w:r w:rsidR="00016948" w:rsidRPr="00016948">
        <w:rPr>
          <w:rFonts w:ascii="PT Serif" w:hAnsi="PT Serif"/>
          <w:sz w:val="20"/>
          <w:szCs w:val="20"/>
        </w:rPr>
        <w:t xml:space="preserve">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or in the absence of such date, within 10 days of receipt of such request.</w:t>
      </w:r>
    </w:p>
    <w:p w14:paraId="27D9BAFD" w14:textId="18C9725F" w:rsidR="00D40239" w:rsidRDefault="00D40239" w:rsidP="00FF05DB">
      <w:pPr>
        <w:rPr>
          <w:rFonts w:ascii="PT Serif" w:hAnsi="PT Serif"/>
          <w:sz w:val="20"/>
          <w:szCs w:val="20"/>
        </w:rPr>
      </w:pPr>
    </w:p>
    <w:p w14:paraId="4EF7B04A" w14:textId="17FD2D64" w:rsidR="00D40239" w:rsidRDefault="00D40239" w:rsidP="00FF05DB">
      <w:pPr>
        <w:rPr>
          <w:rFonts w:ascii="PT Serif" w:hAnsi="PT Serif"/>
          <w:sz w:val="20"/>
          <w:szCs w:val="20"/>
        </w:rPr>
      </w:pPr>
    </w:p>
    <w:p w14:paraId="302890C2" w14:textId="41D8C787" w:rsidR="00D40239" w:rsidRPr="00FF05DB" w:rsidRDefault="00D40239" w:rsidP="00FF05DB">
      <w:pPr>
        <w:rPr>
          <w:rFonts w:ascii="PT Serif" w:hAnsi="PT Serif"/>
          <w:sz w:val="20"/>
          <w:szCs w:val="20"/>
        </w:rPr>
      </w:pPr>
    </w:p>
    <w:p w14:paraId="2F3710C0" w14:textId="6960365D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7. Transfer and Introduction Fees</w:t>
      </w:r>
    </w:p>
    <w:p w14:paraId="62A5D532" w14:textId="0E7CE095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7.1 Where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receives instructions from the Client to act as an employment agency (to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secure Candidates for Permanent Placements) and if there is an Introduction of a Candidate to the Client which does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not result in the supply of that Candidate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the Client, but which leads to an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Engagement of the Candidate by the Client within 12 months from the date of Introduction, the Client shall be liable to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pay an introduction fee calculated as follows: if the Candidate is to be employed or engaged by the Client on an annual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salary basis, the Client shall pay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the Fees that would have been payable in accordance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with the Fee Schedule had the Candidate been supplied through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in respect of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Candidate’s gross annual salary or in any other case of the gross annual equivalent to be paid by the Client to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relevant Candidate. No refund of the introduction fee will be paid in the event that the Engagement subsequently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terminates. VAT is payable in addition to any fee due.</w:t>
      </w:r>
    </w:p>
    <w:p w14:paraId="2EE6032A" w14:textId="4A854FF8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7.2 Where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receives instructions from the Client to act as an employment business (to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secure Temporary Workers for Temporary Placements) and if there is an Introduction of a Candidate to the Client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which does not result in the supply of that Candidate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the Client, but which leads to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an Engagement of the Candidate by the Client either directly or pursuant to being supplied by another employment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business within 12 months from the date of Introduction the Client shall be liable, subject to electing upon giving 30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days’ notice, to either:</w:t>
      </w:r>
    </w:p>
    <w:p w14:paraId="28131F9A" w14:textId="35199D90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(a) A period of hire of the Candidate being 12 months during which the Client shall pay the charges for each hour/day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the Candidate is so employed or supplied; or</w:t>
      </w:r>
    </w:p>
    <w:p w14:paraId="49637806" w14:textId="5C553B73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(b) An introduction fee calculated as follows: if the Candidate is to be employed or engaged by the Client on an annual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salary basis, the Client shall pay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the Fees that would have been payable in accordance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with the Fee Schedule had the Candidate been supplied through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in respect of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Candidate’s gross annual salary or in any other case of the gross annual equivalent to be paid by the Client to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relevant Candidate. No refund of the introduction fee will be paid in the event that the Engagement subsequently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terminates. VAT is payable in addition to any fee due. However, where the Client does not give notice (in </w:t>
      </w:r>
      <w:r w:rsidR="00D40239">
        <w:rPr>
          <w:rFonts w:ascii="PT Serif" w:hAnsi="PT Serif"/>
          <w:sz w:val="20"/>
          <w:szCs w:val="20"/>
        </w:rPr>
        <w:t>accordance w</w:t>
      </w:r>
      <w:r w:rsidRPr="00FF05DB">
        <w:rPr>
          <w:rFonts w:ascii="PT Serif" w:hAnsi="PT Serif"/>
          <w:sz w:val="20"/>
          <w:szCs w:val="20"/>
        </w:rPr>
        <w:t>ith (a) above) before the Candidate is engaged the parties agree that the introduction fee shall be due.</w:t>
      </w:r>
    </w:p>
    <w:p w14:paraId="1603A8EE" w14:textId="5C0CAB34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7.3 In the event of the Engagement by the Client, or by a third party introduced by the Client, of a Temporary Worker</w:t>
      </w:r>
      <w:r w:rsidR="00815735">
        <w:rPr>
          <w:rFonts w:ascii="PT Serif" w:hAnsi="PT Serif"/>
          <w:sz w:val="20"/>
          <w:szCs w:val="20"/>
        </w:rPr>
        <w:t xml:space="preserve">, </w:t>
      </w:r>
      <w:r w:rsidRPr="00FF05DB">
        <w:rPr>
          <w:rFonts w:ascii="PT Serif" w:hAnsi="PT Serif"/>
          <w:sz w:val="20"/>
          <w:szCs w:val="20"/>
        </w:rPr>
        <w:t xml:space="preserve">supplied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for an Assignment either (1) directly or (2) pursuant to being supplied by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another employment business, during the Assignment Term or within whichever is the longer of either:</w:t>
      </w:r>
    </w:p>
    <w:p w14:paraId="61E934E2" w14:textId="4021549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(a) 14 weeks from the start of the first Assignment Term (each new Assignment Term where there has been a break of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more than 42 days (6 weeks) since the end of a previous Assignment Term shall also be considered to be the ‘first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Assignment’ for these purposes); or</w:t>
      </w:r>
    </w:p>
    <w:p w14:paraId="452417F1" w14:textId="7DCBAB80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(b) 8 weeks from the day after the last day the Temporary Worker provided the Services.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The client shall be liable, subject to electing by giving 30 days prior notice, to either:</w:t>
      </w:r>
    </w:p>
    <w:p w14:paraId="58FA4B53" w14:textId="6B821F26" w:rsid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</w:t>
      </w:r>
      <w:proofErr w:type="spellStart"/>
      <w:r w:rsidRPr="00FF05DB">
        <w:rPr>
          <w:rFonts w:ascii="PT Serif" w:hAnsi="PT Serif"/>
          <w:sz w:val="20"/>
          <w:szCs w:val="20"/>
        </w:rPr>
        <w:t>i</w:t>
      </w:r>
      <w:proofErr w:type="spellEnd"/>
      <w:r w:rsidRPr="00FF05DB">
        <w:rPr>
          <w:rFonts w:ascii="PT Serif" w:hAnsi="PT Serif"/>
          <w:sz w:val="20"/>
          <w:szCs w:val="20"/>
        </w:rPr>
        <w:t>) An extended period of hire of the Temporary Worker being 12 months during which the Client shall pay the current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rate of Fees; or</w:t>
      </w:r>
    </w:p>
    <w:p w14:paraId="07EE2342" w14:textId="77777777" w:rsidR="00D40239" w:rsidRDefault="00D40239" w:rsidP="00FF05DB">
      <w:pPr>
        <w:rPr>
          <w:rFonts w:ascii="PT Serif" w:hAnsi="PT Serif"/>
          <w:sz w:val="20"/>
          <w:szCs w:val="20"/>
        </w:rPr>
      </w:pPr>
    </w:p>
    <w:p w14:paraId="70E72855" w14:textId="77777777" w:rsidR="00D40239" w:rsidRPr="00FF05DB" w:rsidRDefault="00D40239" w:rsidP="00FF05DB">
      <w:pPr>
        <w:rPr>
          <w:rFonts w:ascii="PT Serif" w:hAnsi="PT Serif"/>
          <w:sz w:val="20"/>
          <w:szCs w:val="20"/>
        </w:rPr>
      </w:pPr>
    </w:p>
    <w:p w14:paraId="77FD3617" w14:textId="424DAE7C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(ii) A transfer fee calculated as follows: if the Temporary Worker is to be employed or engaged by the Client, or a third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party introduced by the Client, on an annual salary basis, the Client shall pay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the Fees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would have been payable in accordance with the Fee Schedule in respect of the Temporary Worker’s gross annual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salary or in any other case of the gross annual equivalent to be paid by the Client to the relevant Temporary Worker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prior to the transfer. No refund of the transfer fee will be paid in the event that the Engagement subsequently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terminates. VAT is payable in addition to any fee due. However, where the Client does not give notice (in accordance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with (</w:t>
      </w:r>
      <w:proofErr w:type="spellStart"/>
      <w:r w:rsidRPr="00FF05DB">
        <w:rPr>
          <w:rFonts w:ascii="PT Serif" w:hAnsi="PT Serif"/>
          <w:sz w:val="20"/>
          <w:szCs w:val="20"/>
        </w:rPr>
        <w:t>i</w:t>
      </w:r>
      <w:proofErr w:type="spellEnd"/>
      <w:r w:rsidRPr="00FF05DB">
        <w:rPr>
          <w:rFonts w:ascii="PT Serif" w:hAnsi="PT Serif"/>
          <w:sz w:val="20"/>
          <w:szCs w:val="20"/>
        </w:rPr>
        <w:t>) above) before the Temporary Worker is Engaged the parties agree that the transfer fee (calculated in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accordance with (ii) above) shall be due.</w:t>
      </w:r>
    </w:p>
    <w:p w14:paraId="69DA2139" w14:textId="2BFD4C40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7.4 If the Client elects for a period of hire, as set out in Clauses 7 but before the end of such period engages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Temporary Worker supplied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either directly or pursuant to being supplied by another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employment business or the Temporary Worker chooses not to be supplied for the period of hire, the transfer or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introduction fee will be charged.</w:t>
      </w:r>
    </w:p>
    <w:p w14:paraId="4D306A86" w14:textId="58ADCB23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7.5 In the event that there is an Introduction of a Candidate to the Client which does not result in the supply of that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Candidate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the Client, but the Candidate is introduced by the Client to a third party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which results in the Engagement of the Candidate by the third party within 12 months from the date of Introduction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Client shall be liable, to an Introduction Fee calculated in accordance with Clause 7.</w:t>
      </w:r>
    </w:p>
    <w:p w14:paraId="55736F52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8. Restrictions</w:t>
      </w:r>
    </w:p>
    <w:p w14:paraId="36EB3860" w14:textId="13887DAA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8.1 If before the Assignment Term commences, during the course of an Assignment Term or within the Relevant Period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the Client wishes to employ or engage the Temporary Worker or former Temporary Worker directly or through another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employment business, the Temporary Worker acknowledges that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will be entitled to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either</w:t>
      </w:r>
    </w:p>
    <w:p w14:paraId="78DE9DB4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a) charge the Client a fee or</w:t>
      </w:r>
    </w:p>
    <w:p w14:paraId="199E5CFE" w14:textId="4BBC614C" w:rsidR="00016948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b) agree an extension of the hiring period with the Client at the end of which the Temporary Worker may be engaged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directly by the Client or through another employment business.</w:t>
      </w:r>
    </w:p>
    <w:p w14:paraId="2872FF64" w14:textId="6496A5BD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8.2 Should a </w:t>
      </w:r>
      <w:r w:rsidR="00016948" w:rsidRPr="00FF05DB">
        <w:rPr>
          <w:rFonts w:ascii="PT Serif" w:hAnsi="PT Serif"/>
          <w:sz w:val="20"/>
          <w:szCs w:val="20"/>
        </w:rPr>
        <w:t>client</w:t>
      </w:r>
      <w:r w:rsidRPr="00FF05DB">
        <w:rPr>
          <w:rFonts w:ascii="PT Serif" w:hAnsi="PT Serif"/>
          <w:sz w:val="20"/>
          <w:szCs w:val="20"/>
        </w:rPr>
        <w:t xml:space="preserve"> attempt to directly contact an introduced or previously engaged Temporary / Contract Worker or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with the aim of re-engaging or employing said person within a 12 month period from termination of previous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engagement thereby by-passing the Terms of Business agreement with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>, a full fee will be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charged and become due in accordance with the relevant payment terms.</w:t>
      </w:r>
    </w:p>
    <w:p w14:paraId="5EBC6E00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9. Liability</w:t>
      </w:r>
    </w:p>
    <w:p w14:paraId="1D8BA4A0" w14:textId="19ADD021" w:rsid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9.1 Whilst every effort is made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to give a satisfactory service to the Client by ensuring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reasonable standards of skills, integrity and reliability from Candidates and Temporary Workers and further to provide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them in accordance with the Client’s requirements,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is not liable for any loss, expense,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damage or delay arising from any failure to provide any Candidate or Temporary Worker for all or part of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Assignment Term or from the negligence, dishonesty, misconduct or lack of skill of a Candidate or Temporary Worker.</w:t>
      </w:r>
    </w:p>
    <w:p w14:paraId="0F0C623D" w14:textId="77777777" w:rsidR="00D40239" w:rsidRDefault="00D40239" w:rsidP="00FF05DB">
      <w:pPr>
        <w:rPr>
          <w:rFonts w:ascii="PT Serif" w:hAnsi="PT Serif"/>
          <w:sz w:val="20"/>
          <w:szCs w:val="20"/>
        </w:rPr>
      </w:pPr>
    </w:p>
    <w:p w14:paraId="464D26A4" w14:textId="749ABF69" w:rsidR="00D40239" w:rsidRPr="00FF05DB" w:rsidRDefault="00D40239" w:rsidP="00FF05DB">
      <w:pPr>
        <w:rPr>
          <w:rFonts w:ascii="PT Serif" w:hAnsi="PT Serif"/>
          <w:sz w:val="20"/>
          <w:szCs w:val="20"/>
        </w:rPr>
      </w:pPr>
    </w:p>
    <w:p w14:paraId="14770D99" w14:textId="7138B90D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For the avoidance of doubt,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does not exclude liability for death or personal injury arising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from its own negligence.</w:t>
      </w:r>
    </w:p>
    <w:p w14:paraId="7ED20782" w14:textId="10848B51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9.2 Temporary Workers supplied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are not the employees of </w:t>
      </w:r>
      <w:r w:rsidR="00882A8D">
        <w:rPr>
          <w:rFonts w:ascii="PT Serif" w:hAnsi="PT Serif"/>
          <w:sz w:val="20"/>
          <w:szCs w:val="20"/>
        </w:rPr>
        <w:t>ASG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but are deemed to be under the supervision, direction and control of the Client from the time they report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to take up duties and for the duration of the Assignment Term. The Client agrees to be responsible for all acts, errors or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omissions of the Temporary Worker, whether wilful, negligent or otherwise. The Client will also comply in all respects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with all statutes including, for the avoidance of doubt, the Working Time Regulations, Health and Safety At Work Act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etc, by-laws, codes of practice and legal requirements to which the Client is ordinarily subject.</w:t>
      </w:r>
    </w:p>
    <w:p w14:paraId="44714294" w14:textId="24EA59FE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9.3 The Client shall indemnify and keep indemnified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against any costs, claims or</w:t>
      </w:r>
    </w:p>
    <w:p w14:paraId="4C99BD60" w14:textId="6EB3F33A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liabilities incurred by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arising out of any Temporary Placement or arising out of any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breach of these Terms by the Client or arising out of the Client’s failure to comply with the AWR or if the Temporary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Worker is unfairly dismissed or subjected to a detriment by or as a result of any act or omission of the Client.</w:t>
      </w:r>
    </w:p>
    <w:p w14:paraId="2783EB88" w14:textId="3A7703A1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9.4 To the extent permitted by law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shall not be liable to the Client for: (a) Loss of profit,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loss of business, loss of revenue, loss of goodwill, loss of anticipated savings; or</w:t>
      </w:r>
    </w:p>
    <w:p w14:paraId="0AEF9980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(b) Any indirect or consequential loss or damage.</w:t>
      </w:r>
    </w:p>
    <w:p w14:paraId="0497D07A" w14:textId="752A423F" w:rsidR="0010255E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9.5 To the extent permitted by law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>’s total liability to the Client for all the claims, costs,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damage and losses under or in connection with each Permanent Placement or Temporary </w:t>
      </w:r>
    </w:p>
    <w:p w14:paraId="02182B72" w14:textId="34F6A4D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Placement made pursuant to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these Terms shall be limited to the total margin paid by the Client to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in respect of each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such placement to which the claim relates.</w:t>
      </w:r>
    </w:p>
    <w:p w14:paraId="7277C6DA" w14:textId="4E65D98A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9.6 Clients are advised to </w:t>
      </w:r>
      <w:r w:rsidR="00815735" w:rsidRPr="00FF05DB">
        <w:rPr>
          <w:rFonts w:ascii="PT Serif" w:hAnsi="PT Serif"/>
          <w:sz w:val="20"/>
          <w:szCs w:val="20"/>
        </w:rPr>
        <w:t>affect</w:t>
      </w:r>
      <w:r w:rsidRPr="00FF05DB">
        <w:rPr>
          <w:rFonts w:ascii="PT Serif" w:hAnsi="PT Serif"/>
          <w:sz w:val="20"/>
          <w:szCs w:val="20"/>
        </w:rPr>
        <w:t xml:space="preserve"> ALL appropriate insurance cover in respect of ALL temporary workers, e.g.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Consequential Loss, Employer’s and Public Liability, etc</w:t>
      </w:r>
    </w:p>
    <w:p w14:paraId="78149B58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10. Termination</w:t>
      </w:r>
    </w:p>
    <w:p w14:paraId="59952AB9" w14:textId="15C8C10E" w:rsidR="00016948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10.1 Either party may terminate these Terms and/or any Temporary Placement immediately upon giving notice in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writing to the other party if:</w:t>
      </w:r>
    </w:p>
    <w:p w14:paraId="36B8D393" w14:textId="47B3D8E9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(a) an order is made or an effective resolution is passed for the winding up of that other party (other than for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purpose of restructuring) or a receiver, administration or administrative receiver is appointed over the undertaking or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any of the property or assets of that other party; or</w:t>
      </w:r>
    </w:p>
    <w:p w14:paraId="6B99817F" w14:textId="7CB57CB1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(b) the other commits any material or persistent breach of these Terms or a Temporary Placement.</w:t>
      </w:r>
    </w:p>
    <w:p w14:paraId="6A53484D" w14:textId="36E9D0C9" w:rsidR="00060081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10.2 Either party may terminate any Temporary Placement at any time on giving written notice of the Notice Period to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the other party.</w:t>
      </w:r>
    </w:p>
    <w:p w14:paraId="54FB4BC7" w14:textId="2E1005BF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10.3 The Client may give 24 hours written notice to terminate a Temporary Placement if:</w:t>
      </w:r>
    </w:p>
    <w:p w14:paraId="06708A61" w14:textId="08B28B22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(a) The Temporary Worker refuses to perform the Services or in the reasonable opinion of the Client fails to perform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Services diligently and with due prudence, skill and care;</w:t>
      </w:r>
    </w:p>
    <w:p w14:paraId="44822B54" w14:textId="77777777" w:rsidR="00E77172" w:rsidRDefault="00E77172" w:rsidP="00FF05DB">
      <w:pPr>
        <w:rPr>
          <w:rFonts w:ascii="PT Serif" w:hAnsi="PT Serif"/>
          <w:sz w:val="20"/>
          <w:szCs w:val="20"/>
        </w:rPr>
      </w:pPr>
    </w:p>
    <w:p w14:paraId="35046F8C" w14:textId="77777777" w:rsidR="00E77172" w:rsidRDefault="00E77172" w:rsidP="00FF05DB">
      <w:pPr>
        <w:rPr>
          <w:rFonts w:ascii="PT Serif" w:hAnsi="PT Serif"/>
          <w:sz w:val="20"/>
          <w:szCs w:val="20"/>
        </w:rPr>
      </w:pPr>
    </w:p>
    <w:p w14:paraId="167EA353" w14:textId="50C51D5E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(b) The Client is on reasonable grounds dissatisfied with the level of technical skill and/or job performance used in the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provision of the Services; or</w:t>
      </w:r>
    </w:p>
    <w:p w14:paraId="72888C4E" w14:textId="12053446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(c) There is a material or persistent inability of the Temporary Worker to provide the Services to the standard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reasonably required by the Client.</w:t>
      </w:r>
    </w:p>
    <w:p w14:paraId="24537289" w14:textId="7C9AEE32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10.4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may terminate a Temporary Placement at any time if the Temporary worker in our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sole opinion, which need not be reasonable, may no longer be willing or able to undertake the services to the Client.</w:t>
      </w:r>
    </w:p>
    <w:p w14:paraId="17116B9A" w14:textId="5EA78E8E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10.5 Termination of these Terms and/or any Temporary Placement shall not release either party from any obligation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accrued on or before termination of these Terms and/or any Temporary Placement.</w:t>
      </w:r>
    </w:p>
    <w:p w14:paraId="12599E8F" w14:textId="37122D9D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11. Intellectual Property</w:t>
      </w:r>
    </w:p>
    <w:p w14:paraId="1CA8F66C" w14:textId="4ED6D0BF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11.1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acknowledges that all intellectual property rights created during the performance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of the Services by the Temporary Worker belong to the Client and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undertakes not to do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any act inconsistent with such ownership.</w:t>
      </w:r>
    </w:p>
    <w:p w14:paraId="19024B34" w14:textId="0849F601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12. Confidentiality and Data Protection</w:t>
      </w:r>
    </w:p>
    <w:p w14:paraId="41848B8B" w14:textId="095F01DC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12.1 All information relating to a Candidate is confidential and subject to the Data Protection Laws and is provided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solely for the purpose of providing work-finding services to the Client. Such information must not be used for any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other purpose nor divulged to any third party and the Client undertakes to abide by the provisions of the Data</w:t>
      </w:r>
    </w:p>
    <w:p w14:paraId="67864FA4" w14:textId="60FBAE5C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Protection Laws in receiving and processing the data at all times. In addition information relating to the Agency’s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business which is capable of being confidential must be kept confidential and not divulged to any third party, except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information which is in the public domain.</w:t>
      </w:r>
    </w:p>
    <w:p w14:paraId="1B7039FE" w14:textId="20DCCC9F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For the purposes of this clause 11.1 “Confidential Information” shall include trade secrets, financing, affairs and trade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connections, clients and information about any of the Client’s information regarding prices, discounts, business and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financial marketing development or any other confidential information.</w:t>
      </w:r>
    </w:p>
    <w:p w14:paraId="3B6D94A0" w14:textId="6DCEA7E9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12.2 The Client hereby grants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the right to:</w:t>
      </w:r>
    </w:p>
    <w:p w14:paraId="75EB7F4F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(a) advertise any vacancies for potential Candidates in any medium;</w:t>
      </w:r>
    </w:p>
    <w:p w14:paraId="55DE2EBC" w14:textId="5D5550CD" w:rsidR="00016948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(b) use its name and logo on its website, client list and in its promotional literature;</w:t>
      </w:r>
    </w:p>
    <w:p w14:paraId="524DEFA9" w14:textId="5893FC4F" w:rsidR="00060081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(c) divulge or otherwise disclose the Confidential Information (or any part thereof) in order to respond to any claim or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proceedings pursuant to the AWR.</w:t>
      </w:r>
    </w:p>
    <w:p w14:paraId="3BC161D8" w14:textId="77777777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13. General</w:t>
      </w:r>
    </w:p>
    <w:p w14:paraId="3B9673EB" w14:textId="7354E2EE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13.1 The failure by either party to enforce at any time any of these Terms shall not be a waiver of them or of the right to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subsequently enforce all terms and conditions of these Terms.</w:t>
      </w:r>
    </w:p>
    <w:p w14:paraId="48FE2B6F" w14:textId="07DF8A84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13.2 The assignment of these Terms by a party shall require the prior written consent of the other party (such consent</w:t>
      </w:r>
      <w:r w:rsidR="00815735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not to be unreasonably withheld or delayed).</w:t>
      </w:r>
    </w:p>
    <w:p w14:paraId="69EDA7A5" w14:textId="77777777" w:rsidR="00E21AD4" w:rsidRDefault="00E21AD4" w:rsidP="00FF05DB">
      <w:pPr>
        <w:rPr>
          <w:rFonts w:ascii="PT Serif" w:hAnsi="PT Serif"/>
          <w:sz w:val="20"/>
          <w:szCs w:val="20"/>
        </w:rPr>
      </w:pPr>
    </w:p>
    <w:p w14:paraId="49D0336A" w14:textId="77777777" w:rsidR="00E21AD4" w:rsidRDefault="00E21AD4" w:rsidP="00FF05DB">
      <w:pPr>
        <w:rPr>
          <w:rFonts w:ascii="PT Serif" w:hAnsi="PT Serif"/>
          <w:sz w:val="20"/>
          <w:szCs w:val="20"/>
        </w:rPr>
      </w:pPr>
    </w:p>
    <w:p w14:paraId="2C29BA25" w14:textId="5D456212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13.3 If any of these Terms is held to be unenforceable in all or in part, that term or provision shall to the extent be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deemed not to form part of these Terms but the validity and enforceability of the remainder of these Terms shall not be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affected.</w:t>
      </w:r>
    </w:p>
    <w:p w14:paraId="275896E9" w14:textId="315A2334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 xml:space="preserve">13.4 </w:t>
      </w:r>
      <w:r w:rsidR="00882A8D">
        <w:rPr>
          <w:rFonts w:ascii="PT Serif" w:hAnsi="PT Serif"/>
          <w:sz w:val="20"/>
          <w:szCs w:val="20"/>
        </w:rPr>
        <w:t>ASG</w:t>
      </w:r>
      <w:r w:rsidRPr="00FF05DB">
        <w:rPr>
          <w:rFonts w:ascii="PT Serif" w:hAnsi="PT Serif"/>
          <w:sz w:val="20"/>
          <w:szCs w:val="20"/>
        </w:rPr>
        <w:t xml:space="preserve"> shall not be liable for any delay or non-performance of its obligations under these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Terms to the extent that such delay or non- performance is caused by Force Majeure Event. For the purposes of these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 xml:space="preserve">Terms “Force Majeure Event” shall mean any event beyond the reasonable control of </w:t>
      </w:r>
      <w:r w:rsidR="00882A8D">
        <w:rPr>
          <w:rFonts w:ascii="PT Serif" w:hAnsi="PT Serif"/>
          <w:sz w:val="20"/>
          <w:szCs w:val="20"/>
        </w:rPr>
        <w:t>ASG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including without limitation, fire, floods, storms, earthquakes, natural physical disasters, acts of war, acts of terrorism or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threats of, or industrial action or acts of government.</w:t>
      </w:r>
    </w:p>
    <w:p w14:paraId="039FDB67" w14:textId="1FE2B8AC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13.5 Any notice under these Terms shall be made in writing. Notices may be sent by post, fax or email. Any notice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served by post shall be deemed to have been served 48 hours after it was posted and proof that the notice was properly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addressed, pre-paid and posted shall be sufficient evidence of service. Any notice served by fax shall be deemed to have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been received on transmission as evidenced by the transmission report. Correctly addressed emails shall be deemed to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be received in dispatch, as evidenced by hardcopy printouts.</w:t>
      </w:r>
    </w:p>
    <w:p w14:paraId="29D8C3BC" w14:textId="24B85D04" w:rsidR="00FF05DB" w:rsidRPr="00FF05DB" w:rsidRDefault="00FF05DB" w:rsidP="00FF05DB">
      <w:pPr>
        <w:rPr>
          <w:rFonts w:ascii="PT Serif" w:hAnsi="PT Serif"/>
          <w:sz w:val="20"/>
          <w:szCs w:val="20"/>
        </w:rPr>
      </w:pPr>
      <w:r w:rsidRPr="00FF05DB">
        <w:rPr>
          <w:rFonts w:ascii="PT Serif" w:hAnsi="PT Serif"/>
          <w:sz w:val="20"/>
          <w:szCs w:val="20"/>
        </w:rPr>
        <w:t>13.6 A person who is not a party to these Terms has no right under the Contracts (Rights of Third Parties) Act 1999 to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enforce any of these Terms but this does not affect any right of the Temporary Worker to enforce any provision of these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Terms against the Client.</w:t>
      </w:r>
    </w:p>
    <w:p w14:paraId="11304300" w14:textId="4B8818DA" w:rsidR="004315F3" w:rsidRDefault="00FF05DB" w:rsidP="00FF05DB">
      <w:r w:rsidRPr="00FF05DB">
        <w:rPr>
          <w:rFonts w:ascii="PT Serif" w:hAnsi="PT Serif"/>
          <w:sz w:val="20"/>
          <w:szCs w:val="20"/>
        </w:rPr>
        <w:t>13.7 These Terms are governed by and shall be construed in accordance with the laws of England and Wales. The parties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hereby submit any dispute (including non-contractual disputes) or matter in relation to these Terms to the exclusive</w:t>
      </w:r>
      <w:r w:rsidR="00016948">
        <w:rPr>
          <w:rFonts w:ascii="PT Serif" w:hAnsi="PT Serif"/>
          <w:sz w:val="20"/>
          <w:szCs w:val="20"/>
        </w:rPr>
        <w:t xml:space="preserve"> </w:t>
      </w:r>
      <w:r w:rsidRPr="00FF05DB">
        <w:rPr>
          <w:rFonts w:ascii="PT Serif" w:hAnsi="PT Serif"/>
          <w:sz w:val="20"/>
          <w:szCs w:val="20"/>
        </w:rPr>
        <w:t>jurisdiction of the Eng</w:t>
      </w:r>
      <w:r>
        <w:t>lish Courts</w:t>
      </w:r>
    </w:p>
    <w:p w14:paraId="6B1E87CB" w14:textId="77777777" w:rsidR="00E21AD4" w:rsidRDefault="00E21AD4" w:rsidP="00FF05DB"/>
    <w:p w14:paraId="48D28194" w14:textId="77777777" w:rsidR="00E21AD4" w:rsidRDefault="00E21AD4" w:rsidP="00FF05DB"/>
    <w:p w14:paraId="014BEA63" w14:textId="77777777" w:rsidR="00E21AD4" w:rsidRDefault="00E21AD4" w:rsidP="00FF05DB"/>
    <w:p w14:paraId="31191C7E" w14:textId="77777777" w:rsidR="00E21AD4" w:rsidRDefault="00E21AD4" w:rsidP="00FF05DB"/>
    <w:p w14:paraId="2385DE17" w14:textId="77777777" w:rsidR="00E21AD4" w:rsidRDefault="00E21AD4" w:rsidP="00FF05DB"/>
    <w:p w14:paraId="35B9804E" w14:textId="77777777" w:rsidR="00E21AD4" w:rsidRDefault="00E21AD4" w:rsidP="00FF05DB"/>
    <w:p w14:paraId="311A2448" w14:textId="77799996" w:rsidR="00E21AD4" w:rsidRDefault="00E21AD4" w:rsidP="00FF05DB"/>
    <w:p w14:paraId="7780A6CE" w14:textId="77777777" w:rsidR="00E21AD4" w:rsidRDefault="00E21AD4" w:rsidP="00FF05DB"/>
    <w:p w14:paraId="21FCB499" w14:textId="77777777" w:rsidR="00E21AD4" w:rsidRDefault="00E21AD4" w:rsidP="00FF05DB"/>
    <w:p w14:paraId="4DDD7A7E" w14:textId="77777777" w:rsidR="00E21AD4" w:rsidRDefault="00E21AD4" w:rsidP="00FF05DB"/>
    <w:p w14:paraId="556468BA" w14:textId="77777777" w:rsidR="00E21AD4" w:rsidRDefault="00E21AD4" w:rsidP="00FF05DB"/>
    <w:p w14:paraId="499C6393" w14:textId="77777777" w:rsidR="00E21AD4" w:rsidRDefault="00E21AD4" w:rsidP="00FF05DB"/>
    <w:p w14:paraId="41E05602" w14:textId="77777777" w:rsidR="00E21AD4" w:rsidRDefault="00E21AD4" w:rsidP="00FF05DB"/>
    <w:p w14:paraId="624381F8" w14:textId="77777777" w:rsidR="00E21AD4" w:rsidRDefault="00E21AD4" w:rsidP="00FF05DB"/>
    <w:p w14:paraId="6F67C0F0" w14:textId="0BAE5C96" w:rsidR="00E77172" w:rsidRDefault="00E77172" w:rsidP="00FF05DB"/>
    <w:p w14:paraId="704B3028" w14:textId="77777777" w:rsidR="0044490C" w:rsidRDefault="0044490C" w:rsidP="00FF05DB"/>
    <w:p w14:paraId="3B878A28" w14:textId="2F9E5252" w:rsidR="0044490C" w:rsidRPr="00992D1E" w:rsidRDefault="0094529F" w:rsidP="0094529F">
      <w:pPr>
        <w:jc w:val="center"/>
        <w:rPr>
          <w:rFonts w:ascii="PT Serif" w:hAnsi="PT Serif"/>
          <w:b/>
          <w:bCs/>
          <w:color w:val="FF0000"/>
          <w:sz w:val="32"/>
          <w:szCs w:val="32"/>
        </w:rPr>
      </w:pPr>
      <w:r w:rsidRPr="00992D1E">
        <w:rPr>
          <w:rFonts w:ascii="PT Serif" w:hAnsi="PT Serif"/>
          <w:b/>
          <w:bCs/>
          <w:color w:val="FF0000"/>
          <w:sz w:val="32"/>
          <w:szCs w:val="32"/>
        </w:rPr>
        <w:t>Temporary Workers Hourly Rates</w:t>
      </w:r>
    </w:p>
    <w:tbl>
      <w:tblPr>
        <w:tblpPr w:leftFromText="180" w:rightFromText="180" w:vertAnchor="text" w:horzAnchor="margin" w:tblpY="239"/>
        <w:tblW w:w="91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1594"/>
        <w:gridCol w:w="2942"/>
        <w:gridCol w:w="1985"/>
      </w:tblGrid>
      <w:tr w:rsidR="00967C35" w:rsidRPr="00967C35" w14:paraId="62A72459" w14:textId="77777777" w:rsidTr="00967C35">
        <w:trPr>
          <w:trHeight w:val="600"/>
        </w:trPr>
        <w:tc>
          <w:tcPr>
            <w:tcW w:w="26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36341" w14:textId="502FBD4D" w:rsidR="00967C35" w:rsidRPr="00967C35" w:rsidRDefault="00967C35" w:rsidP="0096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23BC89" w14:textId="1C39283A" w:rsidR="00967C35" w:rsidRPr="00967C35" w:rsidRDefault="00964891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6489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Hourly </w:t>
            </w:r>
            <w:r w:rsidR="00967C35" w:rsidRPr="00967C3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Rate</w:t>
            </w:r>
          </w:p>
        </w:tc>
        <w:tc>
          <w:tcPr>
            <w:tcW w:w="2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049A6E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Role</w:t>
            </w: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A52C74" w14:textId="15E30926" w:rsidR="00967C35" w:rsidRPr="00967C35" w:rsidRDefault="00964891" w:rsidP="00967C3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64891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 xml:space="preserve">Hourly </w:t>
            </w:r>
            <w:r w:rsidR="00967C35" w:rsidRPr="00967C35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Rate</w:t>
            </w:r>
          </w:p>
        </w:tc>
      </w:tr>
      <w:tr w:rsidR="00967C35" w:rsidRPr="00967C35" w14:paraId="2E38A2F7" w14:textId="77777777" w:rsidTr="00967C35">
        <w:trPr>
          <w:trHeight w:val="600"/>
        </w:trPr>
        <w:tc>
          <w:tcPr>
            <w:tcW w:w="26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2A4BBD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Bar Manager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A87099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£22.00+</w:t>
            </w:r>
          </w:p>
        </w:tc>
        <w:tc>
          <w:tcPr>
            <w:tcW w:w="2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F45660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Stewards/Marshalls/Others</w:t>
            </w: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294F1" w14:textId="77777777" w:rsidR="00967C35" w:rsidRPr="00967C35" w:rsidRDefault="00967C35" w:rsidP="00967C3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£16.90+</w:t>
            </w:r>
          </w:p>
        </w:tc>
      </w:tr>
      <w:tr w:rsidR="00967C35" w:rsidRPr="00967C35" w14:paraId="613DAD28" w14:textId="77777777" w:rsidTr="00967C35">
        <w:trPr>
          <w:trHeight w:val="525"/>
        </w:trPr>
        <w:tc>
          <w:tcPr>
            <w:tcW w:w="26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0A729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Bar Supervisor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A9AA08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£19.00</w:t>
            </w:r>
          </w:p>
        </w:tc>
        <w:tc>
          <w:tcPr>
            <w:tcW w:w="2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ECE273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Catering Staff</w:t>
            </w: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B8450C" w14:textId="77777777" w:rsidR="00967C35" w:rsidRPr="00967C35" w:rsidRDefault="00967C35" w:rsidP="00967C3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£16.90+</w:t>
            </w:r>
          </w:p>
        </w:tc>
      </w:tr>
      <w:tr w:rsidR="00967C35" w:rsidRPr="00967C35" w14:paraId="482AFDC2" w14:textId="77777777" w:rsidTr="00967C35">
        <w:trPr>
          <w:trHeight w:val="525"/>
        </w:trPr>
        <w:tc>
          <w:tcPr>
            <w:tcW w:w="26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8C288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Bartender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BB9D92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£16.90+</w:t>
            </w:r>
          </w:p>
        </w:tc>
        <w:tc>
          <w:tcPr>
            <w:tcW w:w="2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98AC6E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 xml:space="preserve">Chef de </w:t>
            </w:r>
            <w:proofErr w:type="spellStart"/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Partie</w:t>
            </w:r>
            <w:proofErr w:type="spellEnd"/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BA8E4" w14:textId="77777777" w:rsidR="00967C35" w:rsidRPr="00967C35" w:rsidRDefault="00967C35" w:rsidP="00967C3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£21.00-£25.00</w:t>
            </w:r>
          </w:p>
        </w:tc>
      </w:tr>
      <w:tr w:rsidR="00967C35" w:rsidRPr="00967C35" w14:paraId="0A4040EF" w14:textId="77777777" w:rsidTr="00967C35">
        <w:trPr>
          <w:trHeight w:val="525"/>
        </w:trPr>
        <w:tc>
          <w:tcPr>
            <w:tcW w:w="26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5C788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Flair Bartender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46DE4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£25.75-£60.00</w:t>
            </w:r>
          </w:p>
        </w:tc>
        <w:tc>
          <w:tcPr>
            <w:tcW w:w="2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88BA97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Sous Chef</w:t>
            </w: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6B08E0" w14:textId="77777777" w:rsidR="00967C35" w:rsidRPr="00967C35" w:rsidRDefault="00967C35" w:rsidP="00967C3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£21.00+</w:t>
            </w:r>
          </w:p>
        </w:tc>
      </w:tr>
      <w:tr w:rsidR="00967C35" w:rsidRPr="00967C35" w14:paraId="1CEF9DC1" w14:textId="77777777" w:rsidTr="00967C35">
        <w:trPr>
          <w:trHeight w:val="525"/>
        </w:trPr>
        <w:tc>
          <w:tcPr>
            <w:tcW w:w="26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7D635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Mixologist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B190BC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£19.75-£35.00</w:t>
            </w:r>
          </w:p>
        </w:tc>
        <w:tc>
          <w:tcPr>
            <w:tcW w:w="2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0A6233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Pastry Chef</w:t>
            </w: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661991" w14:textId="77777777" w:rsidR="00967C35" w:rsidRPr="00967C35" w:rsidRDefault="00967C35" w:rsidP="00967C3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£19.50+</w:t>
            </w:r>
          </w:p>
        </w:tc>
      </w:tr>
      <w:tr w:rsidR="00967C35" w:rsidRPr="00967C35" w14:paraId="7ECFFDF5" w14:textId="77777777" w:rsidTr="00967C35">
        <w:trPr>
          <w:trHeight w:val="600"/>
        </w:trPr>
        <w:tc>
          <w:tcPr>
            <w:tcW w:w="26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83B2EE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Event Manager</w:t>
            </w:r>
          </w:p>
          <w:p w14:paraId="6A7428AE" w14:textId="77777777" w:rsidR="00967C35" w:rsidRPr="00967C35" w:rsidRDefault="00967C35" w:rsidP="00967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497B59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£30.00+</w:t>
            </w:r>
          </w:p>
        </w:tc>
        <w:tc>
          <w:tcPr>
            <w:tcW w:w="2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DBA87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Kitchen Porter</w:t>
            </w: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B9CBE5" w14:textId="77777777" w:rsidR="00967C35" w:rsidRPr="00967C35" w:rsidRDefault="00967C35" w:rsidP="00967C3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£16.90</w:t>
            </w:r>
          </w:p>
        </w:tc>
      </w:tr>
      <w:tr w:rsidR="00967C35" w:rsidRPr="00967C35" w14:paraId="51542B18" w14:textId="77777777" w:rsidTr="00967C35">
        <w:trPr>
          <w:trHeight w:val="600"/>
        </w:trPr>
        <w:tc>
          <w:tcPr>
            <w:tcW w:w="26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4EA441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Floor Manager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01C04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£22.00+</w:t>
            </w:r>
          </w:p>
        </w:tc>
        <w:tc>
          <w:tcPr>
            <w:tcW w:w="2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FAD74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Setup/Breakdown Crew</w:t>
            </w: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EE197A" w14:textId="77777777" w:rsidR="00967C35" w:rsidRPr="00967C35" w:rsidRDefault="00967C35" w:rsidP="00967C3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£16.90+</w:t>
            </w:r>
          </w:p>
        </w:tc>
      </w:tr>
      <w:tr w:rsidR="00967C35" w:rsidRPr="00967C35" w14:paraId="5F65EDE5" w14:textId="77777777" w:rsidTr="00967C35">
        <w:trPr>
          <w:trHeight w:val="600"/>
        </w:trPr>
        <w:tc>
          <w:tcPr>
            <w:tcW w:w="26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062664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Staffing Officer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B88AA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£19.00</w:t>
            </w:r>
          </w:p>
        </w:tc>
        <w:tc>
          <w:tcPr>
            <w:tcW w:w="2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B6E6C2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Cloakroom Attendants</w:t>
            </w: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BF63D7" w14:textId="77777777" w:rsidR="00967C35" w:rsidRPr="00967C35" w:rsidRDefault="00967C35" w:rsidP="00967C3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£16.90</w:t>
            </w:r>
          </w:p>
        </w:tc>
      </w:tr>
      <w:tr w:rsidR="00967C35" w:rsidRPr="00967C35" w14:paraId="0BAE7BC5" w14:textId="77777777" w:rsidTr="00967C35">
        <w:trPr>
          <w:trHeight w:val="525"/>
        </w:trPr>
        <w:tc>
          <w:tcPr>
            <w:tcW w:w="26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644C45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Waiting Staff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CEEA59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£16.90+</w:t>
            </w:r>
          </w:p>
        </w:tc>
        <w:tc>
          <w:tcPr>
            <w:tcW w:w="29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015F20" w14:textId="77777777" w:rsidR="00967C35" w:rsidRPr="00967C35" w:rsidRDefault="00967C35" w:rsidP="00967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Security</w:t>
            </w:r>
          </w:p>
        </w:tc>
        <w:tc>
          <w:tcPr>
            <w:tcW w:w="19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3C3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AB4622" w14:textId="77777777" w:rsidR="00967C35" w:rsidRPr="00967C35" w:rsidRDefault="00967C35" w:rsidP="00967C35">
            <w:pPr>
              <w:spacing w:after="0" w:line="240" w:lineRule="auto"/>
              <w:ind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67C35">
              <w:rPr>
                <w:rFonts w:ascii="Calibri" w:eastAsia="Times New Roman" w:hAnsi="Calibri" w:cs="Calibri"/>
                <w:color w:val="FFFFFF"/>
                <w:lang w:eastAsia="en-GB"/>
              </w:rPr>
              <w:t>£19.00+</w:t>
            </w:r>
          </w:p>
        </w:tc>
      </w:tr>
    </w:tbl>
    <w:p w14:paraId="11918B68" w14:textId="03DD6692" w:rsidR="00E77172" w:rsidRDefault="00E77172" w:rsidP="00FF05DB"/>
    <w:p w14:paraId="549BC0BE" w14:textId="77777777" w:rsidR="00992D1E" w:rsidRDefault="00992D1E" w:rsidP="00FF05DB"/>
    <w:p w14:paraId="49B393EF" w14:textId="32E8FF21" w:rsidR="00992D1E" w:rsidRPr="00992D1E" w:rsidRDefault="00992D1E" w:rsidP="00992D1E">
      <w:pPr>
        <w:jc w:val="center"/>
        <w:rPr>
          <w:rFonts w:ascii="PT Serif" w:hAnsi="PT Serif"/>
          <w:b/>
          <w:bCs/>
          <w:color w:val="FF0000"/>
          <w:sz w:val="18"/>
          <w:szCs w:val="18"/>
        </w:rPr>
      </w:pPr>
      <w:r w:rsidRPr="00992D1E">
        <w:rPr>
          <w:rFonts w:ascii="PT Serif" w:hAnsi="PT Serif"/>
          <w:b/>
          <w:bCs/>
          <w:color w:val="FF0000"/>
          <w:sz w:val="18"/>
          <w:szCs w:val="18"/>
        </w:rPr>
        <w:t>All prices are subject to VAT</w:t>
      </w:r>
    </w:p>
    <w:p w14:paraId="1BB396AB" w14:textId="6CD75248" w:rsidR="00E77172" w:rsidRDefault="00E77172" w:rsidP="00FF05DB"/>
    <w:p w14:paraId="69349FD6" w14:textId="1FAA245D" w:rsidR="00E77172" w:rsidRDefault="00E77172" w:rsidP="00FF05DB"/>
    <w:p w14:paraId="3DECEF0E" w14:textId="53D46AAD" w:rsidR="00E77172" w:rsidRDefault="00E77172" w:rsidP="00FF05DB"/>
    <w:p w14:paraId="1ADEFEED" w14:textId="27BBD261" w:rsidR="000F43DA" w:rsidRDefault="000F43DA" w:rsidP="00FF05DB">
      <w:pPr>
        <w:rPr>
          <w:rFonts w:ascii="PT Serif" w:hAnsi="PT Serif"/>
          <w:sz w:val="20"/>
          <w:szCs w:val="20"/>
        </w:rPr>
      </w:pPr>
    </w:p>
    <w:p w14:paraId="64CD4FA3" w14:textId="77777777" w:rsidR="000F43DA" w:rsidRDefault="000F43DA" w:rsidP="00FF05DB">
      <w:pPr>
        <w:rPr>
          <w:rFonts w:ascii="PT Serif" w:hAnsi="PT Serif"/>
          <w:sz w:val="20"/>
          <w:szCs w:val="20"/>
        </w:rPr>
      </w:pPr>
    </w:p>
    <w:p w14:paraId="22FD2E3D" w14:textId="286EDA93" w:rsidR="00E21AD4" w:rsidRDefault="00E21AD4">
      <w:pPr>
        <w:rPr>
          <w:rFonts w:ascii="PT Serif" w:hAnsi="PT Serif"/>
          <w:sz w:val="20"/>
          <w:szCs w:val="20"/>
        </w:rPr>
      </w:pPr>
    </w:p>
    <w:p w14:paraId="6F504989" w14:textId="19CBF30C" w:rsidR="009B4F25" w:rsidRPr="00016948" w:rsidRDefault="001420BB" w:rsidP="00FF05DB">
      <w:pPr>
        <w:rPr>
          <w:rFonts w:ascii="PT Serif" w:hAnsi="PT Serif"/>
          <w:sz w:val="20"/>
          <w:szCs w:val="20"/>
        </w:rPr>
      </w:pPr>
      <w:r>
        <w:rPr>
          <w:rFonts w:ascii="PT Serif" w:eastAsiaTheme="minorEastAsia" w:hAnsi="PT Serif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F5A4F" wp14:editId="5058AEB6">
                <wp:simplePos x="0" y="0"/>
                <wp:positionH relativeFrom="column">
                  <wp:posOffset>1269</wp:posOffset>
                </wp:positionH>
                <wp:positionV relativeFrom="paragraph">
                  <wp:posOffset>4493895</wp:posOffset>
                </wp:positionV>
                <wp:extent cx="5913120" cy="264795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98E4C" w14:textId="1E5319B0" w:rsidR="00E77172" w:rsidRPr="002E648C" w:rsidRDefault="00E77172" w:rsidP="00A9558F">
                            <w:pPr>
                              <w:spacing w:after="0"/>
                              <w:jc w:val="center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</w:pPr>
                            <w:r w:rsidRPr="002E648C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 xml:space="preserve">Weeks Refund for Permanent Engagements </w:t>
                            </w:r>
                            <w:r w:rsidR="00A9558F" w:rsidRPr="002E648C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>terminating.</w:t>
                            </w:r>
                          </w:p>
                          <w:p w14:paraId="087A3FB1" w14:textId="77777777" w:rsidR="00A9558F" w:rsidRPr="009318E8" w:rsidRDefault="00A9558F" w:rsidP="00A9558F">
                            <w:pPr>
                              <w:spacing w:after="0"/>
                              <w:jc w:val="center"/>
                              <w:rPr>
                                <w:rFonts w:ascii="PT Serif" w:hAnsi="PT Serif"/>
                                <w:b/>
                                <w:bCs/>
                              </w:rPr>
                            </w:pPr>
                          </w:p>
                          <w:p w14:paraId="0194EC2E" w14:textId="77777777" w:rsidR="00E77172" w:rsidRPr="009318E8" w:rsidRDefault="00E77172" w:rsidP="00E77172">
                            <w:pPr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</w:pPr>
                            <w:r w:rsidRPr="009318E8">
                              <w:rPr>
                                <w:rFonts w:ascii="PT Serif" w:hAnsi="PT Serif"/>
                                <w:b/>
                                <w:bCs/>
                                <w:color w:val="7F7F7F" w:themeColor="text1" w:themeTint="80"/>
                              </w:rPr>
                              <w:t>during or at the end of:</w:t>
                            </w:r>
                            <w:r w:rsidRPr="009318E8">
                              <w:rPr>
                                <w:rFonts w:ascii="PT Serif" w:hAnsi="PT Serif"/>
                                <w:b/>
                                <w:bCs/>
                                <w:color w:val="7F7F7F" w:themeColor="text1" w:themeTint="80"/>
                              </w:rPr>
                              <w:tab/>
                            </w:r>
                            <w:r w:rsidRPr="009318E8">
                              <w:rPr>
                                <w:rFonts w:ascii="PT Serif" w:hAnsi="PT Serif"/>
                                <w:b/>
                                <w:bCs/>
                              </w:rPr>
                              <w:tab/>
                            </w:r>
                            <w:r w:rsidRPr="009318E8">
                              <w:rPr>
                                <w:rFonts w:ascii="PT Serif" w:hAnsi="PT Serif"/>
                                <w:b/>
                                <w:bCs/>
                              </w:rPr>
                              <w:tab/>
                            </w:r>
                            <w:r w:rsidRPr="009318E8">
                              <w:rPr>
                                <w:rFonts w:ascii="PT Serif" w:hAnsi="PT Serif"/>
                                <w:b/>
                                <w:bCs/>
                              </w:rPr>
                              <w:tab/>
                            </w:r>
                            <w:r w:rsidRPr="009318E8">
                              <w:rPr>
                                <w:rFonts w:ascii="PT Serif" w:hAnsi="PT Serif"/>
                                <w:b/>
                                <w:bCs/>
                              </w:rPr>
                              <w:tab/>
                            </w:r>
                            <w:r w:rsidRPr="009318E8">
                              <w:rPr>
                                <w:rFonts w:ascii="PT Serif" w:hAnsi="PT Serif"/>
                                <w:b/>
                                <w:bCs/>
                              </w:rPr>
                              <w:tab/>
                            </w:r>
                            <w:r w:rsidRPr="009318E8">
                              <w:rPr>
                                <w:rFonts w:ascii="PT Serif" w:hAnsi="PT Serif"/>
                                <w:b/>
                                <w:bCs/>
                                <w:color w:val="7F7F7F" w:themeColor="text1" w:themeTint="80"/>
                              </w:rPr>
                              <w:tab/>
                              <w:t xml:space="preserve">Refund %              </w:t>
                            </w:r>
                          </w:p>
                          <w:p w14:paraId="493549D9" w14:textId="77777777" w:rsidR="00E77172" w:rsidRPr="00CB6DF2" w:rsidRDefault="00E77172" w:rsidP="00E77172">
                            <w:pPr>
                              <w:ind w:firstLine="720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</w:pP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 xml:space="preserve">1 and 2 </w:t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  <w:t>100%</w:t>
                            </w:r>
                          </w:p>
                          <w:p w14:paraId="1C5ED8F6" w14:textId="77777777" w:rsidR="00E77172" w:rsidRPr="00CB6DF2" w:rsidRDefault="00E77172" w:rsidP="00E77172">
                            <w:pPr>
                              <w:ind w:firstLine="720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</w:pP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 xml:space="preserve">3 and 4 </w:t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  <w:t>75%</w:t>
                            </w:r>
                          </w:p>
                          <w:p w14:paraId="7DB60D1C" w14:textId="77777777" w:rsidR="00E77172" w:rsidRPr="00CB6DF2" w:rsidRDefault="00E77172" w:rsidP="00E77172">
                            <w:pPr>
                              <w:ind w:firstLine="720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</w:pP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 xml:space="preserve">5 and 6 </w:t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  <w:t>55%</w:t>
                            </w:r>
                          </w:p>
                          <w:p w14:paraId="4C21F0C5" w14:textId="77777777" w:rsidR="00E77172" w:rsidRPr="00CB6DF2" w:rsidRDefault="00E77172" w:rsidP="00E77172">
                            <w:pPr>
                              <w:ind w:firstLine="720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</w:pP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 xml:space="preserve">7 and 8 </w:t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  <w:t>40%</w:t>
                            </w:r>
                          </w:p>
                          <w:p w14:paraId="4D1E8A4F" w14:textId="77777777" w:rsidR="00E77172" w:rsidRPr="00CB6DF2" w:rsidRDefault="00E77172" w:rsidP="00E77172">
                            <w:pPr>
                              <w:ind w:firstLine="720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</w:pP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 xml:space="preserve">9 and 10 </w:t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  <w:t>20%</w:t>
                            </w:r>
                          </w:p>
                          <w:p w14:paraId="27ACE340" w14:textId="77777777" w:rsidR="00E77172" w:rsidRPr="00CB6DF2" w:rsidRDefault="00E77172" w:rsidP="00E77172">
                            <w:pPr>
                              <w:ind w:firstLine="720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</w:pP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 xml:space="preserve">11 and 12 </w:t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CB6DF2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</w:rPr>
                              <w:tab/>
                              <w:t>10%</w:t>
                            </w:r>
                          </w:p>
                          <w:p w14:paraId="2789EF0A" w14:textId="77777777" w:rsidR="00E77172" w:rsidRDefault="00E77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F5A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pt;margin-top:353.85pt;width:465.6pt;height:20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" fillcolor="white [3201]" strokeweight=".5pt">
                <v:textbox>
                  <w:txbxContent>
                    <w:p w14:paraId="78B98E4C" w14:textId="1E5319B0" w:rsidR="00E77172" w:rsidRPr="002E648C" w:rsidRDefault="00E77172" w:rsidP="00A9558F">
                      <w:pPr>
                        <w:spacing w:after="0"/>
                        <w:jc w:val="center"/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</w:pPr>
                      <w:r w:rsidRPr="002E648C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 xml:space="preserve">Weeks Refund for Permanent Engagements </w:t>
                      </w:r>
                      <w:r w:rsidR="00A9558F" w:rsidRPr="002E648C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>terminating.</w:t>
                      </w:r>
                    </w:p>
                    <w:p w14:paraId="087A3FB1" w14:textId="77777777" w:rsidR="00A9558F" w:rsidRPr="009318E8" w:rsidRDefault="00A9558F" w:rsidP="00A9558F">
                      <w:pPr>
                        <w:spacing w:after="0"/>
                        <w:jc w:val="center"/>
                        <w:rPr>
                          <w:rFonts w:ascii="PT Serif" w:hAnsi="PT Serif"/>
                          <w:b/>
                          <w:bCs/>
                        </w:rPr>
                      </w:pPr>
                    </w:p>
                    <w:p w14:paraId="0194EC2E" w14:textId="77777777" w:rsidR="00E77172" w:rsidRPr="009318E8" w:rsidRDefault="00E77172" w:rsidP="00E77172">
                      <w:pPr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</w:pPr>
                      <w:r w:rsidRPr="009318E8">
                        <w:rPr>
                          <w:rFonts w:ascii="PT Serif" w:hAnsi="PT Serif"/>
                          <w:b/>
                          <w:bCs/>
                          <w:color w:val="7F7F7F" w:themeColor="text1" w:themeTint="80"/>
                        </w:rPr>
                        <w:t>during or at the end of:</w:t>
                      </w:r>
                      <w:r w:rsidRPr="009318E8">
                        <w:rPr>
                          <w:rFonts w:ascii="PT Serif" w:hAnsi="PT Serif"/>
                          <w:b/>
                          <w:bCs/>
                          <w:color w:val="7F7F7F" w:themeColor="text1" w:themeTint="80"/>
                        </w:rPr>
                        <w:tab/>
                      </w:r>
                      <w:r w:rsidRPr="009318E8">
                        <w:rPr>
                          <w:rFonts w:ascii="PT Serif" w:hAnsi="PT Serif"/>
                          <w:b/>
                          <w:bCs/>
                        </w:rPr>
                        <w:tab/>
                      </w:r>
                      <w:r w:rsidRPr="009318E8">
                        <w:rPr>
                          <w:rFonts w:ascii="PT Serif" w:hAnsi="PT Serif"/>
                          <w:b/>
                          <w:bCs/>
                        </w:rPr>
                        <w:tab/>
                      </w:r>
                      <w:r w:rsidRPr="009318E8">
                        <w:rPr>
                          <w:rFonts w:ascii="PT Serif" w:hAnsi="PT Serif"/>
                          <w:b/>
                          <w:bCs/>
                        </w:rPr>
                        <w:tab/>
                      </w:r>
                      <w:r w:rsidRPr="009318E8">
                        <w:rPr>
                          <w:rFonts w:ascii="PT Serif" w:hAnsi="PT Serif"/>
                          <w:b/>
                          <w:bCs/>
                        </w:rPr>
                        <w:tab/>
                      </w:r>
                      <w:r w:rsidRPr="009318E8">
                        <w:rPr>
                          <w:rFonts w:ascii="PT Serif" w:hAnsi="PT Serif"/>
                          <w:b/>
                          <w:bCs/>
                        </w:rPr>
                        <w:tab/>
                      </w:r>
                      <w:r w:rsidRPr="009318E8">
                        <w:rPr>
                          <w:rFonts w:ascii="PT Serif" w:hAnsi="PT Serif"/>
                          <w:b/>
                          <w:bCs/>
                          <w:color w:val="7F7F7F" w:themeColor="text1" w:themeTint="80"/>
                        </w:rPr>
                        <w:tab/>
                        <w:t xml:space="preserve">Refund %              </w:t>
                      </w:r>
                    </w:p>
                    <w:p w14:paraId="493549D9" w14:textId="77777777" w:rsidR="00E77172" w:rsidRPr="00CB6DF2" w:rsidRDefault="00E77172" w:rsidP="00E77172">
                      <w:pPr>
                        <w:ind w:firstLine="720"/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</w:pP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 xml:space="preserve">1 and 2 </w:t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  <w:t>100%</w:t>
                      </w:r>
                    </w:p>
                    <w:p w14:paraId="1C5ED8F6" w14:textId="77777777" w:rsidR="00E77172" w:rsidRPr="00CB6DF2" w:rsidRDefault="00E77172" w:rsidP="00E77172">
                      <w:pPr>
                        <w:ind w:firstLine="720"/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</w:pP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 xml:space="preserve">3 and 4 </w:t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  <w:t>75%</w:t>
                      </w:r>
                    </w:p>
                    <w:p w14:paraId="7DB60D1C" w14:textId="77777777" w:rsidR="00E77172" w:rsidRPr="00CB6DF2" w:rsidRDefault="00E77172" w:rsidP="00E77172">
                      <w:pPr>
                        <w:ind w:firstLine="720"/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</w:pP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 xml:space="preserve">5 and 6 </w:t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  <w:t>55%</w:t>
                      </w:r>
                    </w:p>
                    <w:p w14:paraId="4C21F0C5" w14:textId="77777777" w:rsidR="00E77172" w:rsidRPr="00CB6DF2" w:rsidRDefault="00E77172" w:rsidP="00E77172">
                      <w:pPr>
                        <w:ind w:firstLine="720"/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</w:pP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 xml:space="preserve">7 and 8 </w:t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  <w:t>40%</w:t>
                      </w:r>
                    </w:p>
                    <w:p w14:paraId="4D1E8A4F" w14:textId="77777777" w:rsidR="00E77172" w:rsidRPr="00CB6DF2" w:rsidRDefault="00E77172" w:rsidP="00E77172">
                      <w:pPr>
                        <w:ind w:firstLine="720"/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</w:pP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 xml:space="preserve">9 and 10 </w:t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  <w:t>20%</w:t>
                      </w:r>
                    </w:p>
                    <w:p w14:paraId="27ACE340" w14:textId="77777777" w:rsidR="00E77172" w:rsidRPr="00CB6DF2" w:rsidRDefault="00E77172" w:rsidP="00E77172">
                      <w:pPr>
                        <w:ind w:firstLine="720"/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</w:pP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 xml:space="preserve">11 and 12 </w:t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</w:r>
                      <w:r w:rsidRPr="00CB6DF2">
                        <w:rPr>
                          <w:rFonts w:ascii="PT Serif" w:hAnsi="PT Serif"/>
                          <w:b/>
                          <w:bCs/>
                          <w:color w:val="FF0000"/>
                        </w:rPr>
                        <w:tab/>
                        <w:t>10%</w:t>
                      </w:r>
                    </w:p>
                    <w:p w14:paraId="2789EF0A" w14:textId="77777777" w:rsidR="00E77172" w:rsidRDefault="00E77172"/>
                  </w:txbxContent>
                </v:textbox>
              </v:shape>
            </w:pict>
          </mc:Fallback>
        </mc:AlternateContent>
      </w:r>
      <w:r w:rsidR="006258C8" w:rsidRPr="00E77172">
        <w:rPr>
          <w:rFonts w:ascii="PT Serif" w:eastAsiaTheme="minorEastAsia" w:hAnsi="PT Serif"/>
          <w:noProof/>
          <w:sz w:val="20"/>
          <w:szCs w:val="20"/>
          <w:lang w:eastAsia="en-GB"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7B443F2A" wp14:editId="1209068C">
                <wp:simplePos x="0" y="0"/>
                <wp:positionH relativeFrom="margin">
                  <wp:posOffset>-161925</wp:posOffset>
                </wp:positionH>
                <wp:positionV relativeFrom="margin">
                  <wp:posOffset>5122545</wp:posOffset>
                </wp:positionV>
                <wp:extent cx="6182995" cy="45085"/>
                <wp:effectExtent l="0" t="0" r="27305" b="6921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995" cy="45085"/>
                          <a:chOff x="-149958" y="-102702"/>
                          <a:chExt cx="3630081" cy="340566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87325" y="-102702"/>
                            <a:ext cx="3567448" cy="4571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60518C" w14:textId="77777777" w:rsidR="00E77172" w:rsidRDefault="00E77172" w:rsidP="00E7717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49958" y="796512"/>
                            <a:ext cx="3567448" cy="2506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D1C27B6" w14:textId="77777777" w:rsidR="00E77172" w:rsidRPr="00CB6DF2" w:rsidRDefault="00E77172" w:rsidP="00E77172">
                              <w:pPr>
                                <w:rPr>
                                  <w:caps/>
                                  <w:color w:val="4472C4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443F2A" id="Group 198" o:spid="_x0000_s1027" style="position:absolute;margin-left:-12.75pt;margin-top:403.35pt;width:486.85pt;height:3.55pt;z-index:251663360;mso-wrap-distance-left:14.4pt;mso-wrap-distance-top:3.6pt;mso-wrap-distance-right:14.4pt;mso-wrap-distance-bottom:3.6pt;mso-position-horizontal-relative:margin;mso-position-vertical-relative:margin;mso-width-relative:margin;mso-height-relative:margin" coordorigin="-1499,-1027" coordsize="36300,3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">
                <v:rect id="Rectangle 199" o:spid="_x0000_s1028" style="position:absolute;left:-873;top:-1027;width:35674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" fillcolor="red" strokecolor="red" strokeweight="1pt">
                  <v:textbox>
                    <w:txbxContent>
                      <w:p w14:paraId="1060518C" w14:textId="77777777" w:rsidR="00E77172" w:rsidRDefault="00E77172" w:rsidP="00E7717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29" type="#_x0000_t202" style="position:absolute;left:-1499;top:7965;width:35673;height:25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6D1C27B6" w14:textId="77777777" w:rsidR="00E77172" w:rsidRPr="00CB6DF2" w:rsidRDefault="00E77172" w:rsidP="00E77172">
                        <w:pPr>
                          <w:rPr>
                            <w:caps/>
                            <w:color w:val="4472C4" w:themeColor="accent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77172" w:rsidRPr="009B4F25">
        <w:rPr>
          <w:rFonts w:ascii="PT Serif" w:eastAsiaTheme="minorEastAsia" w:hAnsi="PT Serif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7391EF" wp14:editId="5D98C1A9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913120" cy="3419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1473" w14:textId="7DBCE7BF" w:rsidR="009B4F25" w:rsidRPr="003A60FB" w:rsidRDefault="001259EB" w:rsidP="00E77172">
                            <w:pPr>
                              <w:jc w:val="center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Permanent </w:t>
                            </w:r>
                            <w:r w:rsidR="009B4F25"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>Fee Rates</w:t>
                            </w:r>
                          </w:p>
                          <w:p w14:paraId="02752159" w14:textId="77777777" w:rsidR="009B4F25" w:rsidRPr="009848F8" w:rsidRDefault="009B4F25" w:rsidP="009B4F25">
                            <w:pPr>
                              <w:rPr>
                                <w:rFonts w:ascii="PT Serif" w:hAnsi="PT Serif"/>
                                <w:color w:val="595959" w:themeColor="text1" w:themeTint="A6"/>
                                <w:kern w:val="2"/>
                                <w14:ligatures w14:val="standardContextual"/>
                              </w:rPr>
                            </w:pPr>
                            <w:r w:rsidRPr="009848F8">
                              <w:rPr>
                                <w:rFonts w:ascii="PT Serif" w:hAnsi="PT Serif"/>
                                <w:color w:val="595959" w:themeColor="text1" w:themeTint="A6"/>
                                <w:kern w:val="2"/>
                                <w14:ligatures w14:val="standardContextual"/>
                              </w:rPr>
                              <w:t xml:space="preserve">Upon the Engagement of a Candidate, and subject to an administration fee of </w:t>
                            </w:r>
                            <w:r w:rsidRPr="009848F8">
                              <w:rPr>
                                <w:rFonts w:ascii="PT Serif" w:hAnsi="PT Serif"/>
                                <w:b/>
                                <w:bCs/>
                                <w:color w:val="595959" w:themeColor="text1" w:themeTint="A6"/>
                                <w:kern w:val="2"/>
                                <w14:ligatures w14:val="standardContextual"/>
                              </w:rPr>
                              <w:t xml:space="preserve">£175 &amp; Vat, </w:t>
                            </w:r>
                            <w:r w:rsidRPr="009848F8">
                              <w:rPr>
                                <w:rFonts w:ascii="PT Serif" w:hAnsi="PT Serif"/>
                                <w:color w:val="595959" w:themeColor="text1" w:themeTint="A6"/>
                                <w:kern w:val="2"/>
                                <w14:ligatures w14:val="standardContextual"/>
                              </w:rPr>
                              <w:t>each in respect of any one Engagement, the Employment Agency shall charge the following Fees calculated as a percentage of the Candidate’s Remuneration Package (which, for the avoidance of doubt, shall include all benefits and allowances in addition to the full-time equivalent basic salary):</w:t>
                            </w:r>
                          </w:p>
                          <w:p w14:paraId="628D1532" w14:textId="4805DC2F" w:rsidR="009B4F25" w:rsidRPr="00EA1965" w:rsidRDefault="009848F8" w:rsidP="001F2DB4">
                            <w:pPr>
                              <w:pStyle w:val="Subtitle"/>
                              <w:jc w:val="center"/>
                              <w:rPr>
                                <w:rFonts w:ascii="PT Serif" w:hAnsi="PT Serif"/>
                              </w:rPr>
                            </w:pPr>
                            <w:r w:rsidRPr="00EA1965">
                              <w:rPr>
                                <w:rFonts w:ascii="PT Serif" w:hAnsi="PT Serif"/>
                              </w:rPr>
                              <w:t>Amount of remuneration package fee percentage chargeable</w:t>
                            </w:r>
                          </w:p>
                          <w:p w14:paraId="5972FA6A" w14:textId="77777777" w:rsidR="009B4F25" w:rsidRPr="003A60FB" w:rsidRDefault="009B4F25" w:rsidP="009848F8">
                            <w:pPr>
                              <w:jc w:val="center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</w:pP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£0 </w:t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>- £20,999</w:t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>– 14%</w:t>
                            </w:r>
                          </w:p>
                          <w:p w14:paraId="2AFD9791" w14:textId="77777777" w:rsidR="009B4F25" w:rsidRPr="003A60FB" w:rsidRDefault="009B4F25" w:rsidP="009848F8">
                            <w:pPr>
                              <w:jc w:val="center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</w:pP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£21,000 </w:t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- </w:t>
                            </w:r>
                            <w:r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>£</w:t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39,999 </w:t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 </w:t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>- 17%</w:t>
                            </w:r>
                          </w:p>
                          <w:p w14:paraId="5DAC4E18" w14:textId="77777777" w:rsidR="009B4F25" w:rsidRPr="003A60FB" w:rsidRDefault="009B4F25" w:rsidP="009848F8">
                            <w:pPr>
                              <w:jc w:val="center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</w:pP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£40,000 </w:t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- £59,000 </w:t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>- 20%</w:t>
                            </w:r>
                          </w:p>
                          <w:p w14:paraId="363CE64E" w14:textId="77777777" w:rsidR="009B4F25" w:rsidRPr="003A60FB" w:rsidRDefault="009B4F25" w:rsidP="009848F8">
                            <w:pPr>
                              <w:jc w:val="center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</w:pP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£60,000 </w:t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- £79,999 </w:t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  <w:t xml:space="preserve">- </w:t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>23%</w:t>
                            </w:r>
                          </w:p>
                          <w:p w14:paraId="595C1447" w14:textId="77777777" w:rsidR="009B4F25" w:rsidRPr="003A60FB" w:rsidRDefault="009B4F25" w:rsidP="009848F8">
                            <w:pPr>
                              <w:jc w:val="center"/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</w:pP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£80,000 </w:t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 xml:space="preserve">and above </w:t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</w:r>
                            <w:r w:rsidRPr="005433F3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ab/>
                              <w:t xml:space="preserve">- </w:t>
                            </w:r>
                            <w:r w:rsidRPr="003A60FB">
                              <w:rPr>
                                <w:rFonts w:ascii="PT Serif" w:hAnsi="PT Serif"/>
                                <w:b/>
                                <w:bCs/>
                                <w:color w:val="FF0000"/>
                                <w:kern w:val="2"/>
                                <w14:ligatures w14:val="standardContextual"/>
                              </w:rPr>
                              <w:t>26%</w:t>
                            </w:r>
                          </w:p>
                          <w:p w14:paraId="3C82CEBF" w14:textId="77777777" w:rsidR="009B4F25" w:rsidRDefault="009B4F25" w:rsidP="009848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91EF" id="Text Box 2" o:spid="_x0000_s1030" type="#_x0000_t202" style="position:absolute;margin-left:0;margin-top:26.05pt;width:465.6pt;height:2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">
                <v:textbox>
                  <w:txbxContent>
                    <w:p w14:paraId="00381473" w14:textId="7DBCE7BF" w:rsidR="009B4F25" w:rsidRPr="003A60FB" w:rsidRDefault="001259EB" w:rsidP="00E77172">
                      <w:pPr>
                        <w:jc w:val="center"/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Permanent </w:t>
                      </w:r>
                      <w:r w:rsidR="009B4F25"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>Fee Rates</w:t>
                      </w:r>
                    </w:p>
                    <w:p w14:paraId="02752159" w14:textId="77777777" w:rsidR="009B4F25" w:rsidRPr="009848F8" w:rsidRDefault="009B4F25" w:rsidP="009B4F25">
                      <w:pPr>
                        <w:rPr>
                          <w:rFonts w:ascii="PT Serif" w:hAnsi="PT Serif"/>
                          <w:color w:val="595959" w:themeColor="text1" w:themeTint="A6"/>
                          <w:kern w:val="2"/>
                          <w14:ligatures w14:val="standardContextual"/>
                        </w:rPr>
                      </w:pPr>
                      <w:r w:rsidRPr="009848F8">
                        <w:rPr>
                          <w:rFonts w:ascii="PT Serif" w:hAnsi="PT Serif"/>
                          <w:color w:val="595959" w:themeColor="text1" w:themeTint="A6"/>
                          <w:kern w:val="2"/>
                          <w14:ligatures w14:val="standardContextual"/>
                        </w:rPr>
                        <w:t xml:space="preserve">Upon the Engagement of a Candidate, and subject to an administration fee of </w:t>
                      </w:r>
                      <w:r w:rsidRPr="009848F8">
                        <w:rPr>
                          <w:rFonts w:ascii="PT Serif" w:hAnsi="PT Serif"/>
                          <w:b/>
                          <w:bCs/>
                          <w:color w:val="595959" w:themeColor="text1" w:themeTint="A6"/>
                          <w:kern w:val="2"/>
                          <w14:ligatures w14:val="standardContextual"/>
                        </w:rPr>
                        <w:t xml:space="preserve">£175 &amp; Vat, </w:t>
                      </w:r>
                      <w:r w:rsidRPr="009848F8">
                        <w:rPr>
                          <w:rFonts w:ascii="PT Serif" w:hAnsi="PT Serif"/>
                          <w:color w:val="595959" w:themeColor="text1" w:themeTint="A6"/>
                          <w:kern w:val="2"/>
                          <w14:ligatures w14:val="standardContextual"/>
                        </w:rPr>
                        <w:t>each in respect of any one Engagement, the Employment Agency shall charge the following Fees calculated as a percentage of the Candidate’s Remuneration Package (which, for the avoidance of doubt, shall include all benefits and allowances in addition to the full-time equivalent basic salary):</w:t>
                      </w:r>
                    </w:p>
                    <w:p w14:paraId="628D1532" w14:textId="4805DC2F" w:rsidR="009B4F25" w:rsidRPr="00EA1965" w:rsidRDefault="009848F8" w:rsidP="001F2DB4">
                      <w:pPr>
                        <w:pStyle w:val="Subtitle"/>
                        <w:jc w:val="center"/>
                        <w:rPr>
                          <w:rFonts w:ascii="PT Serif" w:hAnsi="PT Serif"/>
                        </w:rPr>
                      </w:pPr>
                      <w:r w:rsidRPr="00EA1965">
                        <w:rPr>
                          <w:rFonts w:ascii="PT Serif" w:hAnsi="PT Serif"/>
                        </w:rPr>
                        <w:t>Amount of remuneration package fee percentage chargeable</w:t>
                      </w:r>
                    </w:p>
                    <w:p w14:paraId="5972FA6A" w14:textId="77777777" w:rsidR="009B4F25" w:rsidRPr="003A60FB" w:rsidRDefault="009B4F25" w:rsidP="009848F8">
                      <w:pPr>
                        <w:jc w:val="center"/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</w:pP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£0 </w:t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>- £20,999</w:t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>– 14%</w:t>
                      </w:r>
                    </w:p>
                    <w:p w14:paraId="2AFD9791" w14:textId="77777777" w:rsidR="009B4F25" w:rsidRPr="003A60FB" w:rsidRDefault="009B4F25" w:rsidP="009848F8">
                      <w:pPr>
                        <w:jc w:val="center"/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</w:pP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£21,000 </w:t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- </w:t>
                      </w:r>
                      <w:r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>£</w:t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39,999 </w:t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 </w:t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>- 17%</w:t>
                      </w:r>
                    </w:p>
                    <w:p w14:paraId="5DAC4E18" w14:textId="77777777" w:rsidR="009B4F25" w:rsidRPr="003A60FB" w:rsidRDefault="009B4F25" w:rsidP="009848F8">
                      <w:pPr>
                        <w:jc w:val="center"/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</w:pP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£40,000 </w:t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- £59,000 </w:t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>- 20%</w:t>
                      </w:r>
                    </w:p>
                    <w:p w14:paraId="363CE64E" w14:textId="77777777" w:rsidR="009B4F25" w:rsidRPr="003A60FB" w:rsidRDefault="009B4F25" w:rsidP="009848F8">
                      <w:pPr>
                        <w:jc w:val="center"/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</w:pP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£60,000 </w:t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- £79,999 </w:t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  <w:t xml:space="preserve">- </w:t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>23%</w:t>
                      </w:r>
                    </w:p>
                    <w:p w14:paraId="595C1447" w14:textId="77777777" w:rsidR="009B4F25" w:rsidRPr="003A60FB" w:rsidRDefault="009B4F25" w:rsidP="009848F8">
                      <w:pPr>
                        <w:jc w:val="center"/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</w:pP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£80,000 </w:t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 xml:space="preserve">and above </w:t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</w:r>
                      <w:r w:rsidRPr="005433F3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ab/>
                        <w:t xml:space="preserve">- </w:t>
                      </w:r>
                      <w:r w:rsidRPr="003A60FB">
                        <w:rPr>
                          <w:rFonts w:ascii="PT Serif" w:hAnsi="PT Serif"/>
                          <w:b/>
                          <w:bCs/>
                          <w:color w:val="FF0000"/>
                          <w:kern w:val="2"/>
                          <w14:ligatures w14:val="standardContextual"/>
                        </w:rPr>
                        <w:t>26%</w:t>
                      </w:r>
                    </w:p>
                    <w:p w14:paraId="3C82CEBF" w14:textId="77777777" w:rsidR="009B4F25" w:rsidRDefault="009B4F25" w:rsidP="009848F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4F25" w:rsidRPr="00016948" w:rsidSect="009F7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40" w:bottom="1440" w:left="144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F0D5" w14:textId="77777777" w:rsidR="009F760E" w:rsidRDefault="009F760E" w:rsidP="00FF05DB">
      <w:pPr>
        <w:spacing w:after="0" w:line="240" w:lineRule="auto"/>
      </w:pPr>
      <w:r>
        <w:separator/>
      </w:r>
    </w:p>
  </w:endnote>
  <w:endnote w:type="continuationSeparator" w:id="0">
    <w:p w14:paraId="74EA4688" w14:textId="77777777" w:rsidR="009F760E" w:rsidRDefault="009F760E" w:rsidP="00FF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C2AD" w14:textId="77777777" w:rsidR="002E5E5D" w:rsidRDefault="002E5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19FB" w14:textId="6E49FA5B" w:rsidR="00FF05DB" w:rsidRPr="00FF05DB" w:rsidRDefault="002A53DE" w:rsidP="00FF05DB">
    <w:pPr>
      <w:pStyle w:val="Footer"/>
      <w:jc w:val="center"/>
      <w:rPr>
        <w:rFonts w:ascii="PT Serif" w:hAnsi="PT Serif"/>
        <w:sz w:val="14"/>
        <w:szCs w:val="14"/>
      </w:rPr>
    </w:pPr>
    <w:r>
      <w:rPr>
        <w:rFonts w:ascii="PT Serif" w:hAnsi="PT Serif"/>
        <w:sz w:val="14"/>
        <w:szCs w:val="14"/>
      </w:rPr>
      <w:t xml:space="preserve"> The Aspire </w:t>
    </w:r>
    <w:r w:rsidR="009F7B93">
      <w:rPr>
        <w:rFonts w:ascii="PT Serif" w:hAnsi="PT Serif"/>
        <w:sz w:val="14"/>
        <w:szCs w:val="14"/>
      </w:rPr>
      <w:t>Staffing</w:t>
    </w:r>
    <w:r>
      <w:rPr>
        <w:rFonts w:ascii="PT Serif" w:hAnsi="PT Serif"/>
        <w:sz w:val="14"/>
        <w:szCs w:val="14"/>
      </w:rPr>
      <w:t xml:space="preserve"> Group Ltd </w:t>
    </w:r>
    <w:r w:rsidR="00B14B00">
      <w:rPr>
        <w:rFonts w:ascii="PT Serif" w:hAnsi="PT Serif"/>
        <w:sz w:val="14"/>
        <w:szCs w:val="14"/>
      </w:rPr>
      <w:t>C</w:t>
    </w:r>
    <w:r w:rsidR="004D2562">
      <w:rPr>
        <w:rFonts w:ascii="PT Serif" w:hAnsi="PT Serif"/>
        <w:sz w:val="14"/>
        <w:szCs w:val="14"/>
      </w:rPr>
      <w:t>ompany No: 14094420, Aspire Staffing Events Ltd</w:t>
    </w:r>
    <w:r w:rsidR="009F7B93">
      <w:rPr>
        <w:rFonts w:ascii="PT Serif" w:hAnsi="PT Serif"/>
        <w:sz w:val="14"/>
        <w:szCs w:val="14"/>
      </w:rPr>
      <w:t>, Company No: 14779329</w:t>
    </w:r>
    <w:r w:rsidR="005D7AF7">
      <w:rPr>
        <w:rFonts w:ascii="PT Serif" w:hAnsi="PT Serif"/>
        <w:sz w:val="14"/>
        <w:szCs w:val="14"/>
      </w:rPr>
      <w:t xml:space="preserve">, </w:t>
    </w:r>
    <w:r w:rsidR="00FF05DB" w:rsidRPr="00FF05DB">
      <w:rPr>
        <w:rFonts w:ascii="PT Serif" w:hAnsi="PT Serif"/>
        <w:sz w:val="14"/>
        <w:szCs w:val="14"/>
      </w:rPr>
      <w:t>No 1 Business Centre, Alvin Street, Gloucester, GL1 3EJ.  www.aspirestaffing.co.uk.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2EF3" w14:textId="77777777" w:rsidR="002E5E5D" w:rsidRDefault="002E5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B650" w14:textId="77777777" w:rsidR="009F760E" w:rsidRDefault="009F760E" w:rsidP="00FF05DB">
      <w:pPr>
        <w:spacing w:after="0" w:line="240" w:lineRule="auto"/>
      </w:pPr>
      <w:r>
        <w:separator/>
      </w:r>
    </w:p>
  </w:footnote>
  <w:footnote w:type="continuationSeparator" w:id="0">
    <w:p w14:paraId="035F71F8" w14:textId="77777777" w:rsidR="009F760E" w:rsidRDefault="009F760E" w:rsidP="00FF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6FF2" w14:textId="77777777" w:rsidR="002E5E5D" w:rsidRDefault="002E5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F926" w14:textId="7A3EE54B" w:rsidR="00FF05DB" w:rsidRDefault="00FF05DB" w:rsidP="00FF05DB">
    <w:pPr>
      <w:pStyle w:val="Header"/>
      <w:jc w:val="right"/>
    </w:pPr>
    <w:r>
      <w:rPr>
        <w:noProof/>
      </w:rPr>
      <w:drawing>
        <wp:inline distT="0" distB="0" distL="0" distR="0" wp14:anchorId="59EF65E8" wp14:editId="1CC4AD46">
          <wp:extent cx="778510" cy="778510"/>
          <wp:effectExtent l="0" t="0" r="2540" b="254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1470" w14:textId="77777777" w:rsidR="002E5E5D" w:rsidRDefault="002E5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DB"/>
    <w:rsid w:val="00005B59"/>
    <w:rsid w:val="00011AAC"/>
    <w:rsid w:val="00016948"/>
    <w:rsid w:val="0004112C"/>
    <w:rsid w:val="00060081"/>
    <w:rsid w:val="00074B8E"/>
    <w:rsid w:val="00077FAF"/>
    <w:rsid w:val="000F43DA"/>
    <w:rsid w:val="0010255E"/>
    <w:rsid w:val="001259EB"/>
    <w:rsid w:val="00140238"/>
    <w:rsid w:val="001420BB"/>
    <w:rsid w:val="001A0850"/>
    <w:rsid w:val="001B6FFD"/>
    <w:rsid w:val="001D0734"/>
    <w:rsid w:val="001F2DB4"/>
    <w:rsid w:val="001F4F9B"/>
    <w:rsid w:val="00244C3A"/>
    <w:rsid w:val="00276DC3"/>
    <w:rsid w:val="002A53DE"/>
    <w:rsid w:val="002B388E"/>
    <w:rsid w:val="002E5E5D"/>
    <w:rsid w:val="002E648C"/>
    <w:rsid w:val="003A60FB"/>
    <w:rsid w:val="003D1CA4"/>
    <w:rsid w:val="003E5342"/>
    <w:rsid w:val="004315F3"/>
    <w:rsid w:val="0044490C"/>
    <w:rsid w:val="00474F3E"/>
    <w:rsid w:val="004A2C3C"/>
    <w:rsid w:val="004C1D41"/>
    <w:rsid w:val="004D2562"/>
    <w:rsid w:val="004E2181"/>
    <w:rsid w:val="005433F3"/>
    <w:rsid w:val="00597C2E"/>
    <w:rsid w:val="005D7AF7"/>
    <w:rsid w:val="005E40B4"/>
    <w:rsid w:val="006258C8"/>
    <w:rsid w:val="00664E63"/>
    <w:rsid w:val="00720417"/>
    <w:rsid w:val="00753086"/>
    <w:rsid w:val="007C2C40"/>
    <w:rsid w:val="007D7C42"/>
    <w:rsid w:val="007E688F"/>
    <w:rsid w:val="00815735"/>
    <w:rsid w:val="00860927"/>
    <w:rsid w:val="00866AD3"/>
    <w:rsid w:val="00882A8D"/>
    <w:rsid w:val="008D2A85"/>
    <w:rsid w:val="00914B3B"/>
    <w:rsid w:val="009318E8"/>
    <w:rsid w:val="0094529F"/>
    <w:rsid w:val="00964891"/>
    <w:rsid w:val="00967699"/>
    <w:rsid w:val="00967C35"/>
    <w:rsid w:val="009848F8"/>
    <w:rsid w:val="00986835"/>
    <w:rsid w:val="00992D1E"/>
    <w:rsid w:val="009B4F25"/>
    <w:rsid w:val="009F760E"/>
    <w:rsid w:val="009F7B93"/>
    <w:rsid w:val="00A9558F"/>
    <w:rsid w:val="00AC4F07"/>
    <w:rsid w:val="00B14B00"/>
    <w:rsid w:val="00BA7133"/>
    <w:rsid w:val="00C12066"/>
    <w:rsid w:val="00C30E64"/>
    <w:rsid w:val="00CB6DF2"/>
    <w:rsid w:val="00D40239"/>
    <w:rsid w:val="00D502D0"/>
    <w:rsid w:val="00DB327F"/>
    <w:rsid w:val="00E21AD4"/>
    <w:rsid w:val="00E7153F"/>
    <w:rsid w:val="00E73215"/>
    <w:rsid w:val="00E77172"/>
    <w:rsid w:val="00EA1965"/>
    <w:rsid w:val="00EE7C02"/>
    <w:rsid w:val="00F8031D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1DF39"/>
  <w15:chartTrackingRefBased/>
  <w15:docId w15:val="{974C2DD4-CF0F-47FF-ACBC-1535D5D7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DB"/>
  </w:style>
  <w:style w:type="paragraph" w:styleId="Footer">
    <w:name w:val="footer"/>
    <w:basedOn w:val="Normal"/>
    <w:link w:val="FooterChar"/>
    <w:uiPriority w:val="99"/>
    <w:unhideWhenUsed/>
    <w:rsid w:val="00FF0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DB"/>
  </w:style>
  <w:style w:type="paragraph" w:styleId="NoSpacing">
    <w:name w:val="No Spacing"/>
    <w:link w:val="NoSpacingChar"/>
    <w:uiPriority w:val="1"/>
    <w:qFormat/>
    <w:rsid w:val="00CB6DF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6DF2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DB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Jones</dc:creator>
  <cp:keywords/>
  <dc:description/>
  <cp:lastModifiedBy>Sara Jones</cp:lastModifiedBy>
  <cp:revision>4</cp:revision>
  <cp:lastPrinted>2023-04-25T16:38:00Z</cp:lastPrinted>
  <dcterms:created xsi:type="dcterms:W3CDTF">2024-02-19T11:49:00Z</dcterms:created>
  <dcterms:modified xsi:type="dcterms:W3CDTF">2024-02-19T11:51:00Z</dcterms:modified>
</cp:coreProperties>
</file>